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45192">
      <w:pPr>
        <w:rPr>
          <w:rFonts w:hint="eastAsia"/>
          <w:lang w:val="en-US" w:eastAsia="zh-CN"/>
        </w:rPr>
      </w:pPr>
    </w:p>
    <w:p w14:paraId="5DF9B4B7">
      <w:pPr>
        <w:pStyle w:val="2"/>
        <w:keepNext w:val="0"/>
        <w:keepLines w:val="0"/>
        <w:pageBreakBefore w:val="0"/>
        <w:widowControl/>
        <w:kinsoku/>
        <w:wordWrap/>
        <w:overflowPunct/>
        <w:topLinePunct w:val="0"/>
        <w:autoSpaceDE/>
        <w:autoSpaceDN/>
        <w:bidi w:val="0"/>
        <w:adjustRightInd w:val="0"/>
        <w:snapToGrid w:val="0"/>
        <w:spacing w:before="0" w:after="0" w:line="576" w:lineRule="exact"/>
        <w:ind w:firstLine="0" w:firstLineChars="0"/>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吉林省国资国企智库</w:t>
      </w:r>
      <w:r>
        <w:rPr>
          <w:rFonts w:hint="eastAsia" w:ascii="方正小标宋简体" w:hAnsi="方正小标宋简体" w:eastAsia="方正小标宋简体" w:cs="方正小标宋简体"/>
          <w:b w:val="0"/>
          <w:bCs w:val="0"/>
          <w:color w:val="auto"/>
          <w:sz w:val="44"/>
          <w:szCs w:val="44"/>
          <w:lang w:eastAsia="zh-CN"/>
        </w:rPr>
        <w:t>“</w:t>
      </w:r>
      <w:r>
        <w:rPr>
          <w:rFonts w:hint="eastAsia" w:ascii="方正小标宋简体" w:hAnsi="方正小标宋简体" w:eastAsia="方正小标宋简体" w:cs="方正小标宋简体"/>
          <w:b w:val="0"/>
          <w:bCs w:val="0"/>
          <w:color w:val="auto"/>
          <w:sz w:val="44"/>
          <w:szCs w:val="44"/>
          <w:lang w:val="en-US" w:eastAsia="zh-CN"/>
        </w:rPr>
        <w:t>揭榜挂帅</w:t>
      </w:r>
      <w:r>
        <w:rPr>
          <w:rFonts w:hint="eastAsia" w:ascii="方正小标宋简体" w:hAnsi="方正小标宋简体" w:eastAsia="方正小标宋简体" w:cs="方正小标宋简体"/>
          <w:b w:val="0"/>
          <w:bCs w:val="0"/>
          <w:color w:val="auto"/>
          <w:sz w:val="44"/>
          <w:szCs w:val="44"/>
          <w:lang w:eastAsia="zh-CN"/>
        </w:rPr>
        <w:t>”</w:t>
      </w:r>
      <w:r>
        <w:rPr>
          <w:rFonts w:hint="eastAsia" w:ascii="方正小标宋简体" w:hAnsi="方正小标宋简体" w:eastAsia="方正小标宋简体" w:cs="方正小标宋简体"/>
          <w:b w:val="0"/>
          <w:bCs w:val="0"/>
          <w:color w:val="auto"/>
          <w:sz w:val="44"/>
          <w:szCs w:val="44"/>
        </w:rPr>
        <w:t>课题</w:t>
      </w:r>
    </w:p>
    <w:p w14:paraId="17247A85">
      <w:pPr>
        <w:pStyle w:val="2"/>
        <w:keepNext w:val="0"/>
        <w:keepLines w:val="0"/>
        <w:pageBreakBefore w:val="0"/>
        <w:widowControl/>
        <w:kinsoku/>
        <w:wordWrap/>
        <w:overflowPunct/>
        <w:topLinePunct w:val="0"/>
        <w:autoSpaceDE/>
        <w:autoSpaceDN/>
        <w:bidi w:val="0"/>
        <w:adjustRightInd w:val="0"/>
        <w:snapToGrid w:val="0"/>
        <w:spacing w:before="0" w:after="0" w:line="576" w:lineRule="exact"/>
        <w:ind w:firstLine="0" w:firstLineChars="0"/>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lang w:val="en-US" w:eastAsia="zh-CN"/>
        </w:rPr>
        <w:t>结项</w:t>
      </w:r>
      <w:r>
        <w:rPr>
          <w:rFonts w:hint="eastAsia" w:ascii="方正小标宋简体" w:hAnsi="方正小标宋简体" w:eastAsia="方正小标宋简体" w:cs="方正小标宋简体"/>
          <w:b w:val="0"/>
          <w:bCs w:val="0"/>
          <w:color w:val="auto"/>
          <w:sz w:val="44"/>
          <w:szCs w:val="44"/>
        </w:rPr>
        <w:t>管理</w:t>
      </w:r>
      <w:r>
        <w:rPr>
          <w:rFonts w:hint="eastAsia" w:ascii="方正小标宋简体" w:hAnsi="方正小标宋简体" w:eastAsia="方正小标宋简体" w:cs="方正小标宋简体"/>
          <w:b w:val="0"/>
          <w:bCs w:val="0"/>
          <w:color w:val="auto"/>
          <w:sz w:val="44"/>
          <w:szCs w:val="44"/>
          <w:lang w:val="en-US" w:eastAsia="zh-CN"/>
        </w:rPr>
        <w:t>细则</w:t>
      </w:r>
    </w:p>
    <w:p w14:paraId="61A1D54F">
      <w:pPr>
        <w:pStyle w:val="2"/>
        <w:keepNext w:val="0"/>
        <w:keepLines w:val="0"/>
        <w:pageBreakBefore w:val="0"/>
        <w:widowControl/>
        <w:kinsoku/>
        <w:wordWrap/>
        <w:overflowPunct/>
        <w:topLinePunct w:val="0"/>
        <w:autoSpaceDE/>
        <w:autoSpaceDN/>
        <w:bidi w:val="0"/>
        <w:adjustRightInd w:val="0"/>
        <w:snapToGrid w:val="0"/>
        <w:spacing w:before="0" w:after="0" w:line="576" w:lineRule="exact"/>
        <w:ind w:firstLine="0" w:firstLineChars="0"/>
        <w:jc w:val="center"/>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试行</w:t>
      </w:r>
      <w:r>
        <w:rPr>
          <w:rFonts w:hint="eastAsia" w:ascii="楷体_GB2312" w:hAnsi="楷体_GB2312" w:eastAsia="楷体_GB2312" w:cs="楷体_GB2312"/>
          <w:b w:val="0"/>
          <w:bCs w:val="0"/>
          <w:color w:val="auto"/>
          <w:sz w:val="32"/>
          <w:szCs w:val="32"/>
          <w:lang w:eastAsia="zh-CN"/>
        </w:rPr>
        <w:t>）</w:t>
      </w:r>
    </w:p>
    <w:p w14:paraId="723AEB50">
      <w:pPr>
        <w:pStyle w:val="2"/>
        <w:keepNext w:val="0"/>
        <w:keepLines w:val="0"/>
        <w:pageBreakBefore w:val="0"/>
        <w:kinsoku/>
        <w:wordWrap/>
        <w:overflowPunct/>
        <w:topLinePunct w:val="0"/>
        <w:autoSpaceDE/>
        <w:autoSpaceDN/>
        <w:bidi w:val="0"/>
        <w:adjustRightInd/>
        <w:snapToGrid/>
        <w:spacing w:before="0" w:after="0" w:line="576" w:lineRule="exact"/>
        <w:ind w:firstLine="500" w:firstLineChars="0"/>
        <w:jc w:val="center"/>
        <w:textAlignment w:val="auto"/>
        <w:rPr>
          <w:rFonts w:hint="eastAsia" w:ascii="方正小标宋简体" w:hAnsi="方正小标宋简体" w:eastAsia="方正小标宋简体" w:cs="方正小标宋简体"/>
          <w:b w:val="0"/>
          <w:bCs w:val="0"/>
          <w:color w:val="auto"/>
          <w:sz w:val="32"/>
          <w:szCs w:val="32"/>
        </w:rPr>
      </w:pPr>
    </w:p>
    <w:p w14:paraId="6B649E81">
      <w:pPr>
        <w:pStyle w:val="23"/>
        <w:keepNext w:val="0"/>
        <w:keepLines w:val="0"/>
        <w:pageBreakBefore w:val="0"/>
        <w:widowControl/>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规范吉林省国资国企智库（以下简称智库）“揭榜挂帅”课题结项管理工作，提高课题研究质量，促进成果转化应用，根据《关于加强中国特色新型智库建设的意见》（中办发〔2014〕65号）《关于印发&lt;吉林省国资国企智库建设运行方案&gt;的通知》（</w:t>
      </w:r>
      <w:r>
        <w:rPr>
          <w:rFonts w:hint="default" w:ascii="仿宋_GB2312" w:hAnsi="仿宋_GB2312" w:eastAsia="仿宋_GB2312" w:cs="仿宋_GB2312"/>
          <w:color w:val="auto"/>
          <w:sz w:val="32"/>
          <w:szCs w:val="32"/>
          <w:lang w:val="en-US" w:eastAsia="zh-CN"/>
        </w:rPr>
        <w:t>吉国</w:t>
      </w:r>
      <w:r>
        <w:rPr>
          <w:rFonts w:hint="eastAsia" w:ascii="仿宋_GB2312" w:hAnsi="仿宋_GB2312" w:eastAsia="仿宋_GB2312" w:cs="仿宋_GB2312"/>
          <w:color w:val="auto"/>
          <w:sz w:val="32"/>
          <w:szCs w:val="32"/>
          <w:lang w:val="en-US" w:eastAsia="zh-CN"/>
        </w:rPr>
        <w:t>资发规划〔2025〕101号）《吉林省国资国企智库课题管理办法（试行）》《吉林省国资国企智库课题经费管理办法（试行）》等文件精神，结合吉林省国资国企实际，制定本细则。</w:t>
      </w:r>
    </w:p>
    <w:p w14:paraId="71582A86">
      <w:pPr>
        <w:pStyle w:val="4"/>
        <w:keepNext w:val="0"/>
        <w:keepLines w:val="0"/>
        <w:pageBreakBefore w:val="0"/>
        <w:widowControl/>
        <w:kinsoku/>
        <w:wordWrap/>
        <w:overflowPunct/>
        <w:topLinePunct w:val="0"/>
        <w:autoSpaceDE/>
        <w:autoSpaceDN/>
        <w:bidi w:val="0"/>
        <w:adjustRightInd w:val="0"/>
        <w:snapToGrid w:val="0"/>
        <w:spacing w:before="0" w:after="0" w:line="660" w:lineRule="exact"/>
        <w:ind w:left="0" w:leftChars="0" w:right="0" w:rightChars="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第一章</w:t>
      </w:r>
      <w:r>
        <w:rPr>
          <w:rFonts w:hint="eastAsia" w:ascii="黑体" w:hAnsi="黑体" w:eastAsia="黑体" w:cs="黑体"/>
          <w:b w:val="0"/>
          <w:bCs w:val="0"/>
          <w:color w:val="auto"/>
          <w:sz w:val="32"/>
          <w:szCs w:val="32"/>
          <w:lang w:val="en-US" w:eastAsia="zh-CN"/>
        </w:rPr>
        <w:t xml:space="preserve"> </w:t>
      </w:r>
      <w:r>
        <w:rPr>
          <w:rFonts w:hint="eastAsia" w:ascii="黑体" w:hAnsi="黑体" w:eastAsia="黑体" w:cs="黑体"/>
          <w:b w:val="0"/>
          <w:bCs w:val="0"/>
          <w:color w:val="auto"/>
          <w:sz w:val="32"/>
          <w:szCs w:val="32"/>
        </w:rPr>
        <w:t>总</w:t>
      </w:r>
      <w:r>
        <w:rPr>
          <w:rFonts w:hint="eastAsia" w:ascii="黑体" w:hAnsi="黑体" w:eastAsia="黑体" w:cs="黑体"/>
          <w:b w:val="0"/>
          <w:bCs w:val="0"/>
          <w:color w:val="auto"/>
          <w:sz w:val="32"/>
          <w:szCs w:val="32"/>
          <w:lang w:val="en-US" w:eastAsia="zh-CN"/>
        </w:rPr>
        <w:t xml:space="preserve"> </w:t>
      </w:r>
      <w:r>
        <w:rPr>
          <w:rFonts w:hint="eastAsia" w:ascii="黑体" w:hAnsi="黑体" w:eastAsia="黑体" w:cs="黑体"/>
          <w:b w:val="0"/>
          <w:bCs w:val="0"/>
          <w:color w:val="auto"/>
          <w:sz w:val="32"/>
          <w:szCs w:val="32"/>
        </w:rPr>
        <w:t>则</w:t>
      </w:r>
    </w:p>
    <w:p w14:paraId="174E1DDB">
      <w:pPr>
        <w:pStyle w:val="4"/>
        <w:keepNext w:val="0"/>
        <w:keepLines w:val="0"/>
        <w:pageBreakBefore w:val="0"/>
        <w:widowControl w:val="0"/>
        <w:kinsoku/>
        <w:wordWrap/>
        <w:overflowPunct/>
        <w:topLinePunct w:val="0"/>
        <w:autoSpaceDE/>
        <w:autoSpaceDN/>
        <w:bidi w:val="0"/>
        <w:adjustRightInd/>
        <w:snapToGrid/>
        <w:spacing w:before="0" w:after="0" w:line="576" w:lineRule="exact"/>
        <w:ind w:firstLine="643"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楷体" w:hAnsi="楷体" w:eastAsia="楷体" w:cs="楷体"/>
          <w:color w:val="auto"/>
          <w:sz w:val="32"/>
          <w:szCs w:val="32"/>
        </w:rPr>
        <w:t>第</w:t>
      </w:r>
      <w:r>
        <w:rPr>
          <w:rFonts w:hint="eastAsia" w:ascii="楷体" w:hAnsi="楷体" w:eastAsia="楷体" w:cs="楷体"/>
          <w:color w:val="auto"/>
          <w:sz w:val="32"/>
          <w:szCs w:val="32"/>
          <w:lang w:val="en-US" w:eastAsia="zh-CN"/>
        </w:rPr>
        <w:t>一</w:t>
      </w:r>
      <w:r>
        <w:rPr>
          <w:rFonts w:hint="eastAsia" w:ascii="楷体" w:hAnsi="楷体" w:eastAsia="楷体" w:cs="楷体"/>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本细则适用于智库面向社会公开发布、以遴选形式确定课题承担单位和课题负责人的“揭榜挂帅”课题的结项管理工作。</w:t>
      </w:r>
    </w:p>
    <w:p w14:paraId="256A3971">
      <w:pPr>
        <w:pStyle w:val="4"/>
        <w:keepNext w:val="0"/>
        <w:keepLines w:val="0"/>
        <w:pageBreakBefore w:val="0"/>
        <w:widowControl w:val="0"/>
        <w:kinsoku/>
        <w:wordWrap/>
        <w:overflowPunct/>
        <w:topLinePunct w:val="0"/>
        <w:autoSpaceDE/>
        <w:autoSpaceDN/>
        <w:bidi w:val="0"/>
        <w:adjustRightInd/>
        <w:snapToGrid/>
        <w:spacing w:before="0" w:after="0"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color w:val="auto"/>
          <w:sz w:val="32"/>
          <w:szCs w:val="32"/>
          <w:lang w:val="en-US" w:eastAsia="zh-CN"/>
        </w:rPr>
        <w:t xml:space="preserve">第二条 </w:t>
      </w:r>
      <w:r>
        <w:rPr>
          <w:rFonts w:hint="eastAsia" w:ascii="仿宋_GB2312" w:hAnsi="仿宋_GB2312" w:eastAsia="仿宋_GB2312" w:cs="仿宋_GB2312"/>
          <w:b w:val="0"/>
          <w:bCs w:val="0"/>
          <w:color w:val="auto"/>
          <w:sz w:val="32"/>
          <w:szCs w:val="32"/>
          <w:lang w:val="en-US" w:eastAsia="zh-CN"/>
        </w:rPr>
        <w:t>本细则是《吉林省国资国企智库课题管理办法（试行）》的配套实施细则，未尽事宜按照总办法及相关规定执行。结项公告或者课题指南另有规定的，从其规定。</w:t>
      </w:r>
    </w:p>
    <w:p w14:paraId="1433532B">
      <w:pPr>
        <w:pStyle w:val="4"/>
        <w:keepNext w:val="0"/>
        <w:keepLines w:val="0"/>
        <w:pageBreakBefore w:val="0"/>
        <w:widowControl w:val="0"/>
        <w:kinsoku/>
        <w:wordWrap/>
        <w:overflowPunct/>
        <w:topLinePunct w:val="0"/>
        <w:autoSpaceDE/>
        <w:autoSpaceDN/>
        <w:bidi w:val="0"/>
        <w:adjustRightInd/>
        <w:snapToGrid/>
        <w:spacing w:before="0" w:after="0"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color w:val="auto"/>
          <w:sz w:val="32"/>
          <w:szCs w:val="32"/>
          <w:lang w:val="en-US" w:eastAsia="zh-CN"/>
        </w:rPr>
        <w:t>第三条</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lang w:val="en-US" w:eastAsia="zh-CN"/>
        </w:rPr>
        <w:t>智库“揭榜挂帅”课题结项管理坚持“质量为先、注重实效、客观公正、规范高效”的原则，强化“无成果，不结项”要求，严格成果鉴定标准，确保课题研究服务决策、解决问题、推动实践。</w:t>
      </w:r>
    </w:p>
    <w:p w14:paraId="0A687EED">
      <w:pPr>
        <w:pStyle w:val="4"/>
        <w:keepNext w:val="0"/>
        <w:keepLines w:val="0"/>
        <w:pageBreakBefore w:val="0"/>
        <w:widowControl/>
        <w:kinsoku/>
        <w:wordWrap/>
        <w:overflowPunct/>
        <w:topLinePunct w:val="0"/>
        <w:autoSpaceDE/>
        <w:autoSpaceDN/>
        <w:bidi w:val="0"/>
        <w:adjustRightInd w:val="0"/>
        <w:snapToGrid w:val="0"/>
        <w:spacing w:before="0" w:after="0" w:line="660" w:lineRule="exact"/>
        <w:ind w:left="0" w:leftChars="0" w:right="0" w:rightChars="0" w:firstLine="0" w:firstLineChars="0"/>
        <w:jc w:val="center"/>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rPr>
        <w:t>第二章</w:t>
      </w:r>
      <w:r>
        <w:rPr>
          <w:rFonts w:hint="eastAsia" w:ascii="黑体" w:hAnsi="黑体" w:eastAsia="黑体" w:cs="黑体"/>
          <w:b w:val="0"/>
          <w:bCs w:val="0"/>
          <w:color w:val="auto"/>
          <w:sz w:val="32"/>
          <w:szCs w:val="32"/>
          <w:lang w:val="en-US" w:eastAsia="zh-CN"/>
        </w:rPr>
        <w:t xml:space="preserve"> 结项条件</w:t>
      </w:r>
    </w:p>
    <w:p w14:paraId="43643116">
      <w:pPr>
        <w:pStyle w:val="4"/>
        <w:keepNext w:val="0"/>
        <w:keepLines w:val="0"/>
        <w:pageBreakBefore w:val="0"/>
        <w:widowControl w:val="0"/>
        <w:kinsoku/>
        <w:wordWrap/>
        <w:overflowPunct/>
        <w:topLinePunct w:val="0"/>
        <w:autoSpaceDE/>
        <w:autoSpaceDN/>
        <w:bidi w:val="0"/>
        <w:adjustRightInd/>
        <w:snapToGrid/>
        <w:spacing w:before="0" w:after="0"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color w:val="auto"/>
          <w:sz w:val="32"/>
          <w:szCs w:val="32"/>
          <w:lang w:val="en-US" w:eastAsia="zh-CN"/>
        </w:rPr>
        <w:t xml:space="preserve">第四条 </w:t>
      </w:r>
      <w:r>
        <w:rPr>
          <w:rFonts w:hint="eastAsia" w:ascii="仿宋_GB2312" w:hAnsi="仿宋_GB2312" w:eastAsia="仿宋_GB2312" w:cs="仿宋_GB2312"/>
          <w:b w:val="0"/>
          <w:bCs w:val="0"/>
          <w:color w:val="auto"/>
          <w:sz w:val="32"/>
          <w:szCs w:val="32"/>
          <w:lang w:val="en-US" w:eastAsia="zh-CN"/>
        </w:rPr>
        <w:t>申请结项的课题应当完成课题申报书约定的全部研究任务，达到预期研究目标。</w:t>
      </w:r>
    </w:p>
    <w:p w14:paraId="51319207">
      <w:pPr>
        <w:pStyle w:val="4"/>
        <w:keepNext w:val="0"/>
        <w:keepLines w:val="0"/>
        <w:pageBreakBefore w:val="0"/>
        <w:widowControl w:val="0"/>
        <w:kinsoku/>
        <w:wordWrap/>
        <w:overflowPunct/>
        <w:topLinePunct w:val="0"/>
        <w:autoSpaceDE/>
        <w:autoSpaceDN/>
        <w:bidi w:val="0"/>
        <w:adjustRightInd/>
        <w:snapToGrid/>
        <w:spacing w:before="0" w:after="0"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color w:val="auto"/>
          <w:sz w:val="32"/>
          <w:szCs w:val="32"/>
        </w:rPr>
        <w:t>第</w:t>
      </w:r>
      <w:r>
        <w:rPr>
          <w:rFonts w:hint="eastAsia" w:ascii="楷体" w:hAnsi="楷体" w:eastAsia="楷体" w:cs="楷体"/>
          <w:color w:val="auto"/>
          <w:sz w:val="32"/>
          <w:szCs w:val="32"/>
          <w:lang w:val="en-US" w:eastAsia="zh-CN"/>
        </w:rPr>
        <w:t>五</w:t>
      </w:r>
      <w:r>
        <w:rPr>
          <w:rFonts w:hint="eastAsia" w:ascii="楷体" w:hAnsi="楷体" w:eastAsia="楷体" w:cs="楷体"/>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智库课题须完成至少两篇研究成果，具体要求如下：</w:t>
      </w:r>
    </w:p>
    <w:p w14:paraId="443DBDBD">
      <w:pPr>
        <w:keepNext w:val="0"/>
        <w:keepLines w:val="0"/>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（一）一篇为符合上报标准的咨询报告、对策建议等，一般3000字左右，要求观点明确、对策具体、可操作性强；</w:t>
      </w:r>
    </w:p>
    <w:p w14:paraId="33B7D4D0">
      <w:pPr>
        <w:keepNext w:val="0"/>
        <w:keepLines w:val="0"/>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（二）另一篇为高质量的研究报告、项目规划、建设方案等，一般1万字以上，要求资料详实、论证充分、体系完整。</w:t>
      </w:r>
    </w:p>
    <w:p w14:paraId="2BDF9C53">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rPr>
        <w:t>第</w:t>
      </w:r>
      <w:r>
        <w:rPr>
          <w:rFonts w:hint="eastAsia" w:ascii="楷体" w:hAnsi="楷体" w:eastAsia="楷体" w:cs="楷体"/>
          <w:b/>
          <w:bCs/>
          <w:color w:val="auto"/>
          <w:sz w:val="32"/>
          <w:szCs w:val="32"/>
          <w:lang w:val="en-US" w:eastAsia="zh-CN"/>
        </w:rPr>
        <w:t>六</w:t>
      </w:r>
      <w:r>
        <w:rPr>
          <w:rFonts w:hint="eastAsia" w:ascii="楷体" w:hAnsi="楷体" w:eastAsia="楷体" w:cs="楷体"/>
          <w:b/>
          <w:bCs/>
          <w:color w:val="auto"/>
          <w:sz w:val="32"/>
          <w:szCs w:val="32"/>
        </w:rPr>
        <w:t>条</w:t>
      </w:r>
      <w:r>
        <w:rPr>
          <w:rFonts w:hint="eastAsia" w:ascii="楷体" w:hAnsi="楷体" w:eastAsia="楷体" w:cs="楷体"/>
          <w:b/>
          <w:bCs/>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成果原则上应标注“吉林省国资国企智库课题研究成果”字样及课题编号。研究成果知识产权归智库运管中心、出题单位共有，未经智库运管中心同意，课题承担单位不得直接或变相对外发布或向第三方提供。同一成果不得用于多个课题结项。</w:t>
      </w:r>
    </w:p>
    <w:p w14:paraId="0C7111AC">
      <w:pPr>
        <w:keepNext w:val="0"/>
        <w:keepLines w:val="0"/>
        <w:pageBreakBefore w:val="0"/>
        <w:kinsoku/>
        <w:wordWrap/>
        <w:overflowPunct/>
        <w:topLinePunct w:val="0"/>
        <w:autoSpaceDE/>
        <w:autoSpaceDN/>
        <w:bidi w:val="0"/>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第七条</w:t>
      </w:r>
      <w:r>
        <w:rPr>
          <w:rFonts w:hint="eastAsia" w:ascii="仿宋_GB2312" w:hAnsi="仿宋_GB2312" w:eastAsia="仿宋_GB2312" w:cs="仿宋_GB2312"/>
          <w:b w:val="0"/>
          <w:bCs w:val="0"/>
          <w:color w:val="auto"/>
          <w:sz w:val="32"/>
          <w:szCs w:val="32"/>
          <w:lang w:val="en-US" w:eastAsia="zh-CN"/>
        </w:rPr>
        <w:t xml:space="preserve"> 申请结项还应当符合以下条件：</w:t>
      </w:r>
    </w:p>
    <w:p w14:paraId="62A6AC64">
      <w:pPr>
        <w:keepNext w:val="0"/>
        <w:keepLines w:val="0"/>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（一）课题经费使用符合《吉林省国资国企智库课题经费管理办法（试行）》及相关财务规定；</w:t>
      </w:r>
    </w:p>
    <w:p w14:paraId="63FDBF3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（二）课题研究过程中发生的重要事项变更已按规定履行审批手续；</w:t>
      </w:r>
    </w:p>
    <w:p w14:paraId="38761BC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（三）按要求提交完整的结项申请材料；</w:t>
      </w:r>
    </w:p>
    <w:p w14:paraId="3854927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（四）课题研究未超过规定完成期限，或已按规定申请延期并获批准。</w:t>
      </w:r>
    </w:p>
    <w:p w14:paraId="52AA919A">
      <w:pPr>
        <w:pStyle w:val="4"/>
        <w:keepNext w:val="0"/>
        <w:keepLines w:val="0"/>
        <w:pageBreakBefore w:val="0"/>
        <w:widowControl/>
        <w:kinsoku/>
        <w:wordWrap/>
        <w:overflowPunct/>
        <w:topLinePunct w:val="0"/>
        <w:autoSpaceDE/>
        <w:autoSpaceDN/>
        <w:bidi w:val="0"/>
        <w:adjustRightInd w:val="0"/>
        <w:snapToGrid w:val="0"/>
        <w:spacing w:before="0" w:after="0" w:line="660" w:lineRule="exact"/>
        <w:ind w:left="0" w:leftChars="0" w:right="0" w:rightChars="0" w:firstLine="0" w:firstLineChars="0"/>
        <w:jc w:val="center"/>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rPr>
        <w:t>第三章</w:t>
      </w:r>
      <w:r>
        <w:rPr>
          <w:rFonts w:hint="eastAsia" w:ascii="黑体" w:hAnsi="黑体" w:eastAsia="黑体" w:cs="黑体"/>
          <w:b w:val="0"/>
          <w:bCs w:val="0"/>
          <w:color w:val="auto"/>
          <w:sz w:val="32"/>
          <w:szCs w:val="32"/>
          <w:lang w:val="en-US" w:eastAsia="zh-CN"/>
        </w:rPr>
        <w:t xml:space="preserve"> 结项申请</w:t>
      </w:r>
    </w:p>
    <w:p w14:paraId="250770E4">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第八条</w:t>
      </w:r>
      <w:r>
        <w:rPr>
          <w:rFonts w:hint="eastAsia" w:ascii="仿宋_GB2312" w:hAnsi="仿宋_GB2312" w:eastAsia="仿宋_GB2312" w:cs="仿宋_GB2312"/>
          <w:b w:val="0"/>
          <w:bCs w:val="0"/>
          <w:color w:val="auto"/>
          <w:sz w:val="32"/>
          <w:szCs w:val="32"/>
          <w:lang w:val="en-US" w:eastAsia="zh-CN"/>
        </w:rPr>
        <w:t xml:space="preserve"> 课题承担单位应当在课题完成期限届满前30日内，向智库运管中心提出结项申请。提前完成研究任务的，可提前申请结项。</w:t>
      </w:r>
    </w:p>
    <w:p w14:paraId="7D29D473">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第九条</w:t>
      </w:r>
      <w:r>
        <w:rPr>
          <w:rFonts w:hint="eastAsia" w:ascii="仿宋_GB2312" w:hAnsi="仿宋_GB2312" w:eastAsia="仿宋_GB2312" w:cs="仿宋_GB2312"/>
          <w:b w:val="0"/>
          <w:bCs w:val="0"/>
          <w:color w:val="auto"/>
          <w:sz w:val="32"/>
          <w:szCs w:val="32"/>
          <w:lang w:val="en-US" w:eastAsia="zh-CN"/>
        </w:rPr>
        <w:t xml:space="preserve"> 申请课题结项，应当提交以下材料：</w:t>
      </w:r>
    </w:p>
    <w:p w14:paraId="6561E00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（一）《吉林省国资国企智库课题结项审批书》；</w:t>
      </w:r>
    </w:p>
    <w:p w14:paraId="30B5FC5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（二）课题研究成果（包括咨询报告、研究报告等）；</w:t>
      </w:r>
    </w:p>
    <w:p w14:paraId="7C72859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highlight w:val="yellow"/>
          <w:lang w:val="en-US" w:eastAsia="zh-CN"/>
        </w:rPr>
      </w:pPr>
      <w:r>
        <w:rPr>
          <w:rFonts w:hint="eastAsia" w:ascii="仿宋_GB2312" w:hAnsi="仿宋_GB2312" w:eastAsia="仿宋_GB2312" w:cs="仿宋_GB2312"/>
          <w:b w:val="0"/>
          <w:bCs w:val="0"/>
          <w:color w:val="auto"/>
          <w:sz w:val="32"/>
          <w:szCs w:val="32"/>
          <w:lang w:val="en-US" w:eastAsia="zh-CN"/>
        </w:rPr>
        <w:t>（三）</w:t>
      </w:r>
      <w:r>
        <w:rPr>
          <w:rFonts w:hint="eastAsia" w:ascii="仿宋_GB2312" w:hAnsi="仿宋_GB2312" w:eastAsia="仿宋_GB2312" w:cs="仿宋_GB2312"/>
          <w:b w:val="0"/>
          <w:bCs w:val="0"/>
          <w:color w:val="auto"/>
          <w:sz w:val="32"/>
          <w:szCs w:val="32"/>
          <w:highlight w:val="none"/>
          <w:lang w:val="en-US" w:eastAsia="zh-CN"/>
        </w:rPr>
        <w:t>课题申报书复印件；</w:t>
      </w:r>
    </w:p>
    <w:p w14:paraId="2903C01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（四）佐证材料；</w:t>
      </w:r>
    </w:p>
    <w:p w14:paraId="711026B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（五）研究成果的采纳证明、批示、获奖证书等相关证明材料（如有）；</w:t>
      </w:r>
    </w:p>
    <w:p w14:paraId="6C83D6E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（六）其他需要提交的材料。</w:t>
      </w:r>
    </w:p>
    <w:p w14:paraId="692DC58B">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第十条</w:t>
      </w:r>
      <w:r>
        <w:rPr>
          <w:rFonts w:hint="eastAsia" w:ascii="仿宋_GB2312" w:hAnsi="仿宋_GB2312" w:eastAsia="仿宋_GB2312" w:cs="仿宋_GB2312"/>
          <w:b w:val="0"/>
          <w:bCs w:val="0"/>
          <w:color w:val="auto"/>
          <w:sz w:val="32"/>
          <w:szCs w:val="32"/>
          <w:lang w:val="en-US" w:eastAsia="zh-CN"/>
        </w:rPr>
        <w:t xml:space="preserve"> 结项申请按以下程序办理：</w:t>
      </w:r>
    </w:p>
    <w:p w14:paraId="7568C3A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（一）课题负责人填写结项审批书，整理结项材料，经课题承担单位审核并签署意见、加盖公章后，报送智库运管中心；</w:t>
      </w:r>
    </w:p>
    <w:p w14:paraId="0E8B710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（二）智库运管中心对结项申请材料进行规范性审查，重点审查材料是否齐全、格式是否规范、内容是否完整；</w:t>
      </w:r>
    </w:p>
    <w:p w14:paraId="7C71FD6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（三）规范性审查合格的，进入成果鉴定程序；不合格的，通知课题承担单位在5个工作日内补正，逾期不补正或补正后仍不合格的，视为撤回申请。</w:t>
      </w:r>
    </w:p>
    <w:p w14:paraId="68B3D875">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第十一条</w:t>
      </w:r>
      <w:r>
        <w:rPr>
          <w:rFonts w:hint="eastAsia" w:ascii="仿宋_GB2312" w:hAnsi="仿宋_GB2312" w:eastAsia="仿宋_GB2312" w:cs="仿宋_GB2312"/>
          <w:b w:val="0"/>
          <w:bCs w:val="0"/>
          <w:color w:val="auto"/>
          <w:sz w:val="32"/>
          <w:szCs w:val="32"/>
          <w:lang w:val="en-US" w:eastAsia="zh-CN"/>
        </w:rPr>
        <w:t xml:space="preserve"> 课题确需延期的，课题承担单位应当在期限届满前15个工作日内向智库运管中心提交延期申请，说明延期理由和延期时间，经智库工作委员会审批同意后方可延期。课题仅允许延期1次，申请延期时长一般为2个月，最长不得超过6个月。办理延期的课题，无法获得优秀和良好等级，仅有一次鉴定机会。</w:t>
      </w:r>
    </w:p>
    <w:p w14:paraId="56AA959E">
      <w:pPr>
        <w:pStyle w:val="4"/>
        <w:keepNext w:val="0"/>
        <w:keepLines w:val="0"/>
        <w:pageBreakBefore w:val="0"/>
        <w:widowControl/>
        <w:kinsoku/>
        <w:wordWrap/>
        <w:overflowPunct/>
        <w:topLinePunct w:val="0"/>
        <w:autoSpaceDE/>
        <w:autoSpaceDN/>
        <w:bidi w:val="0"/>
        <w:adjustRightInd w:val="0"/>
        <w:snapToGrid w:val="0"/>
        <w:spacing w:before="0" w:after="0" w:line="660" w:lineRule="exact"/>
        <w:ind w:left="0" w:leftChars="0" w:right="0" w:rightChars="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第四章</w:t>
      </w:r>
      <w:r>
        <w:rPr>
          <w:rFonts w:hint="eastAsia" w:ascii="黑体" w:hAnsi="黑体" w:eastAsia="黑体" w:cs="黑体"/>
          <w:b w:val="0"/>
          <w:bCs w:val="0"/>
          <w:color w:val="auto"/>
          <w:sz w:val="32"/>
          <w:szCs w:val="32"/>
          <w:lang w:val="en-US" w:eastAsia="zh-CN"/>
        </w:rPr>
        <w:t xml:space="preserve"> 成果鉴定</w:t>
      </w:r>
      <w:r>
        <w:rPr>
          <w:rFonts w:hint="eastAsia" w:ascii="黑体" w:hAnsi="黑体" w:eastAsia="黑体" w:cs="黑体"/>
          <w:b w:val="0"/>
          <w:bCs w:val="0"/>
          <w:color w:val="auto"/>
          <w:sz w:val="32"/>
          <w:szCs w:val="32"/>
        </w:rPr>
        <w:t>
</w:t>
      </w:r>
    </w:p>
    <w:p w14:paraId="23D92DBA">
      <w:pPr>
        <w:pStyle w:val="4"/>
        <w:keepNext w:val="0"/>
        <w:keepLines w:val="0"/>
        <w:pageBreakBefore w:val="0"/>
        <w:widowControl/>
        <w:kinsoku/>
        <w:wordWrap/>
        <w:overflowPunct/>
        <w:topLinePunct w:val="0"/>
        <w:autoSpaceDE/>
        <w:autoSpaceDN/>
        <w:bidi w:val="0"/>
        <w:adjustRightInd/>
        <w:snapToGrid/>
        <w:spacing w:before="0" w:after="0" w:line="576" w:lineRule="exact"/>
        <w:ind w:firstLine="643" w:firstLineChars="200"/>
        <w:jc w:val="both"/>
        <w:textAlignment w:val="auto"/>
        <w:rPr>
          <w:rFonts w:hint="eastAsia"/>
          <w:lang w:val="en-US" w:eastAsia="zh-CN"/>
        </w:rPr>
      </w:pPr>
      <w:r>
        <w:rPr>
          <w:rFonts w:hint="eastAsia" w:ascii="楷体" w:hAnsi="楷体" w:eastAsia="楷体" w:cs="楷体"/>
          <w:b/>
          <w:bCs/>
          <w:color w:val="auto"/>
          <w:sz w:val="32"/>
          <w:szCs w:val="32"/>
          <w:lang w:val="en-US" w:eastAsia="zh-CN"/>
        </w:rPr>
        <w:t>第十二条</w:t>
      </w:r>
      <w:r>
        <w:rPr>
          <w:rFonts w:hint="eastAsia" w:ascii="仿宋_GB2312" w:hAnsi="仿宋_GB2312" w:eastAsia="仿宋_GB2312" w:cs="仿宋_GB2312"/>
          <w:b w:val="0"/>
          <w:bCs w:val="0"/>
          <w:color w:val="auto"/>
          <w:sz w:val="32"/>
          <w:szCs w:val="32"/>
          <w:lang w:val="en-US" w:eastAsia="zh-CN"/>
        </w:rPr>
        <w:t xml:space="preserve"> 智库“揭榜挂帅”课题结项鉴定实行“专家+出题单位”联合鉴定制度。鉴定工作由智库运管中心组织实施，鉴定结果报智库工作委员会审批。</w:t>
      </w:r>
    </w:p>
    <w:p w14:paraId="1D078ADD">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第十三条</w:t>
      </w:r>
      <w:r>
        <w:rPr>
          <w:rFonts w:hint="eastAsia" w:ascii="仿宋_GB2312" w:hAnsi="仿宋_GB2312" w:eastAsia="仿宋_GB2312" w:cs="仿宋_GB2312"/>
          <w:b w:val="0"/>
          <w:bCs w:val="0"/>
          <w:color w:val="auto"/>
          <w:sz w:val="32"/>
          <w:szCs w:val="32"/>
          <w:lang w:val="en-US" w:eastAsia="zh-CN"/>
        </w:rPr>
        <w:t xml:space="preserve"> 鉴定专家从智库专家库中选取，也可根据实际需要特聘专家参与鉴定，严格执行回避制度。每个课题的鉴定专家原则上不少于5人，必要时可根据实际需要适当调整。出题单位原则上应派1名代表参与鉴定。</w:t>
      </w:r>
    </w:p>
    <w:p w14:paraId="55657003">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楷体" w:hAnsi="楷体" w:eastAsia="楷体" w:cs="楷体"/>
          <w:b/>
          <w:bCs/>
          <w:color w:val="auto"/>
          <w:sz w:val="32"/>
          <w:szCs w:val="32"/>
          <w:lang w:val="en-US" w:eastAsia="zh-CN"/>
        </w:rPr>
        <w:t>第十四条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课题结项鉴定可采取通讯鉴定、现场鉴定或两者结合的方式进行。</w:t>
      </w:r>
    </w:p>
    <w:p w14:paraId="2AECD5D4">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第十五条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成果鉴定重点围绕以下方面进行：</w:t>
      </w:r>
    </w:p>
    <w:p w14:paraId="7BF1F001">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（一）研究成果的政治方向和学术价值；</w:t>
      </w:r>
    </w:p>
    <w:p w14:paraId="493EC714">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（二）研究成果的成熟程度和创新性；</w:t>
      </w:r>
    </w:p>
    <w:p w14:paraId="7949200D">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（三）研究内容与</w:t>
      </w:r>
      <w:r>
        <w:rPr>
          <w:rFonts w:hint="eastAsia" w:ascii="仿宋_GB2312" w:hAnsi="仿宋_GB2312" w:eastAsia="仿宋_GB2312" w:cs="仿宋_GB2312"/>
          <w:b w:val="0"/>
          <w:bCs w:val="0"/>
          <w:color w:val="auto"/>
          <w:sz w:val="32"/>
          <w:szCs w:val="32"/>
          <w:highlight w:val="none"/>
          <w:lang w:val="en-US" w:eastAsia="zh-CN"/>
        </w:rPr>
        <w:t>课题</w:t>
      </w:r>
      <w:r>
        <w:rPr>
          <w:rFonts w:hint="eastAsia" w:ascii="仿宋_GB2312" w:hAnsi="仿宋_GB2312" w:eastAsia="仿宋_GB2312" w:cs="仿宋_GB2312"/>
          <w:b w:val="0"/>
          <w:bCs w:val="0"/>
          <w:color w:val="auto"/>
          <w:sz w:val="32"/>
          <w:szCs w:val="32"/>
          <w:lang w:val="en-US" w:eastAsia="zh-CN"/>
        </w:rPr>
        <w:t>申报书的符合度；</w:t>
      </w:r>
    </w:p>
    <w:p w14:paraId="7ECBB96C">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（四）研究方法的科学性和研究数据的可靠性；</w:t>
      </w:r>
    </w:p>
    <w:p w14:paraId="1A8C5AA5">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（五）研究成果的应用价值和决策参考价值；</w:t>
      </w:r>
    </w:p>
    <w:p w14:paraId="1252FC77">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（六）研究的难易程度和工作量；</w:t>
      </w:r>
    </w:p>
    <w:p w14:paraId="39E29EBD">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（七）成果的规范性和完整性。</w:t>
      </w:r>
    </w:p>
    <w:p w14:paraId="1CDB62A5">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第十六条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课题结项初次鉴定结果分为优秀、良好、限期修改三个等级：</w:t>
      </w:r>
    </w:p>
    <w:p w14:paraId="12515389">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（一）优秀（得分≥90分）：研究成果具有重要学术价值或应用价值，在理论创新、方法创新或实践应用方面有突破性进展，对推动国资国企改革发展具有重要决策参考价值；</w:t>
      </w:r>
    </w:p>
    <w:p w14:paraId="25C46B5E">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（二）良好（70分≤得分＜90分）：研究成果具有较高的学术价值或应用价值，在某些方面有创新，对推动相关工作具有较好的决策参考价值；</w:t>
      </w:r>
    </w:p>
    <w:p w14:paraId="09D9DEC8">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（三）限期修改（得分＜70分）：研究成果完成了课题申报书约定的全部研究任务，但成果深度、创新性、实务参考价值等方面存在短板，需要进一步修改完善。</w:t>
      </w:r>
    </w:p>
    <w:p w14:paraId="593F5181">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 xml:space="preserve">第十七条 </w:t>
      </w:r>
      <w:r>
        <w:rPr>
          <w:rFonts w:hint="eastAsia" w:ascii="仿宋_GB2312" w:hAnsi="仿宋_GB2312" w:eastAsia="仿宋_GB2312" w:cs="仿宋_GB2312"/>
          <w:b w:val="0"/>
          <w:bCs w:val="0"/>
          <w:color w:val="auto"/>
          <w:sz w:val="32"/>
          <w:szCs w:val="32"/>
          <w:lang w:val="en-US" w:eastAsia="zh-CN"/>
        </w:rPr>
        <w:t>初次鉴定评级为限期修改的课题，给予1次修改完善机会，限期2个月。课题负责人应当根据鉴定意见对成果进行修改完善，到期后申请二次鉴定。</w:t>
      </w:r>
    </w:p>
    <w:p w14:paraId="23370FFD">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第十八条</w:t>
      </w:r>
      <w:r>
        <w:rPr>
          <w:rFonts w:hint="eastAsia" w:ascii="仿宋_GB2312" w:hAnsi="仿宋_GB2312" w:eastAsia="仿宋_GB2312" w:cs="仿宋_GB2312"/>
          <w:b w:val="0"/>
          <w:bCs w:val="0"/>
          <w:color w:val="auto"/>
          <w:sz w:val="32"/>
          <w:szCs w:val="32"/>
          <w:lang w:val="en-US" w:eastAsia="zh-CN"/>
        </w:rPr>
        <w:t xml:space="preserve"> 二次鉴定仅设置合格、不合格两个等级</w:t>
      </w:r>
      <w:bookmarkStart w:id="0" w:name="_GoBack"/>
      <w:bookmarkEnd w:id="0"/>
      <w:r>
        <w:rPr>
          <w:rFonts w:hint="eastAsia" w:ascii="仿宋_GB2312" w:hAnsi="仿宋_GB2312" w:eastAsia="仿宋_GB2312" w:cs="仿宋_GB2312"/>
          <w:b w:val="0"/>
          <w:bCs w:val="0"/>
          <w:color w:val="auto"/>
          <w:sz w:val="32"/>
          <w:szCs w:val="32"/>
          <w:lang w:val="en-US" w:eastAsia="zh-CN"/>
        </w:rPr>
        <w:t>。得分≥70分为合格，予以正常结项；得分＜70分为不合格，不予结项，按撤项处理。</w:t>
      </w:r>
    </w:p>
    <w:p w14:paraId="3A271057">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第十九条</w:t>
      </w:r>
      <w:r>
        <w:rPr>
          <w:rFonts w:hint="eastAsia" w:ascii="仿宋_GB2312" w:hAnsi="仿宋_GB2312" w:eastAsia="仿宋_GB2312" w:cs="仿宋_GB2312"/>
          <w:b w:val="0"/>
          <w:bCs w:val="0"/>
          <w:color w:val="auto"/>
          <w:sz w:val="32"/>
          <w:szCs w:val="32"/>
          <w:lang w:val="en-US" w:eastAsia="zh-CN"/>
        </w:rPr>
        <w:t xml:space="preserve"> 研究成果具备下列条件之一的，可申请免于鉴定，经智库工作委员会审批后，视为优秀等级：</w:t>
      </w:r>
    </w:p>
    <w:p w14:paraId="7047416B">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（一）获得国家部委司局级以上领导同志或地方党委、政府副省级以上（含）领导同志肯定性批示；</w:t>
      </w:r>
    </w:p>
    <w:p w14:paraId="0989FE3C">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（二）获得省部级以上（含）科研、教学成果奖三等奖（含）以上奖励；</w:t>
      </w:r>
    </w:p>
    <w:p w14:paraId="1B007B06">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（三）被中央或省直有关部门创办的《内参》《要情》《要报》《信息》等刊物整篇采用并上报1篇（含）以上；</w:t>
      </w:r>
    </w:p>
    <w:p w14:paraId="104307EA">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（四）研究成果在《人民日报》《光明日报》《经济日报》《求是》上发表；</w:t>
      </w:r>
    </w:p>
    <w:p w14:paraId="69C1AA83">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（五）省级国资监管部门认定的在推动重大改革或解决关键难题中发挥重要作用。</w:t>
      </w:r>
    </w:p>
    <w:p w14:paraId="03FE6A56">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第二十条</w:t>
      </w:r>
      <w:r>
        <w:rPr>
          <w:rFonts w:hint="eastAsia" w:ascii="仿宋_GB2312" w:hAnsi="仿宋_GB2312" w:eastAsia="仿宋_GB2312" w:cs="仿宋_GB2312"/>
          <w:b w:val="0"/>
          <w:bCs w:val="0"/>
          <w:color w:val="auto"/>
          <w:sz w:val="32"/>
          <w:szCs w:val="32"/>
          <w:lang w:val="en-US" w:eastAsia="zh-CN"/>
        </w:rPr>
        <w:t xml:space="preserve"> 申请免于鉴定的，由课题负责人提出申请，经课题承担单位审核后报智库运管中心，由智库运管中心审核后报智库工作委员会审批。申请时须提交相关证明材料。</w:t>
      </w:r>
    </w:p>
    <w:p w14:paraId="79000A2D">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第二十一条</w:t>
      </w:r>
      <w:r>
        <w:rPr>
          <w:rFonts w:hint="eastAsia" w:ascii="仿宋_GB2312" w:hAnsi="仿宋_GB2312" w:eastAsia="仿宋_GB2312" w:cs="仿宋_GB2312"/>
          <w:b w:val="0"/>
          <w:bCs w:val="0"/>
          <w:color w:val="auto"/>
          <w:sz w:val="32"/>
          <w:szCs w:val="32"/>
          <w:lang w:val="en-US" w:eastAsia="zh-CN"/>
        </w:rPr>
        <w:t xml:space="preserve"> 课题负责人如对鉴定结果有异议，可在收到鉴定结果之日起10个工作日内，通过课题承担单位向智库运管中心提出书面复核申请，说明理由并提供相关依据。</w:t>
      </w:r>
    </w:p>
    <w:p w14:paraId="611B8FF3">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第二十二条</w:t>
      </w:r>
      <w:r>
        <w:rPr>
          <w:rFonts w:hint="eastAsia" w:ascii="仿宋_GB2312" w:hAnsi="仿宋_GB2312" w:eastAsia="仿宋_GB2312" w:cs="仿宋_GB2312"/>
          <w:b w:val="0"/>
          <w:bCs w:val="0"/>
          <w:color w:val="auto"/>
          <w:sz w:val="32"/>
          <w:szCs w:val="32"/>
          <w:lang w:val="en-US" w:eastAsia="zh-CN"/>
        </w:rPr>
        <w:t xml:space="preserve"> 智库运管中心对复核申请进行审核，认为确有必要的，报智库工作委员会同意后，重新组织专家进行鉴定。同一课题只能申请复核一次，复核结果为最终鉴定意见。</w:t>
      </w:r>
    </w:p>
    <w:p w14:paraId="25B4A3AC">
      <w:pPr>
        <w:keepNext w:val="0"/>
        <w:keepLines w:val="0"/>
        <w:pageBreakBefore w:val="0"/>
        <w:widowControl/>
        <w:suppressLineNumbers w:val="0"/>
        <w:kinsoku/>
        <w:wordWrap/>
        <w:overflowPunct/>
        <w:topLinePunct w:val="0"/>
        <w:autoSpaceDE/>
        <w:autoSpaceDN/>
        <w:bidi w:val="0"/>
        <w:adjustRightInd/>
        <w:snapToGrid/>
        <w:spacing w:line="660" w:lineRule="exact"/>
        <w:jc w:val="center"/>
        <w:textAlignment w:val="auto"/>
        <w:outlineLvl w:val="2"/>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第五章</w:t>
      </w:r>
      <w:r>
        <w:rPr>
          <w:rFonts w:hint="eastAsia" w:ascii="黑体" w:hAnsi="黑体" w:eastAsia="黑体" w:cs="黑体"/>
          <w:b w:val="0"/>
          <w:bCs w:val="0"/>
          <w:color w:val="auto"/>
          <w:sz w:val="32"/>
          <w:szCs w:val="32"/>
          <w:lang w:val="en-US" w:eastAsia="zh-CN"/>
        </w:rPr>
        <w:t xml:space="preserve"> 结项审批</w:t>
      </w:r>
      <w:r>
        <w:rPr>
          <w:rFonts w:hint="eastAsia" w:ascii="黑体" w:hAnsi="黑体" w:eastAsia="黑体" w:cs="黑体"/>
          <w:b w:val="0"/>
          <w:bCs w:val="0"/>
          <w:color w:val="auto"/>
          <w:sz w:val="32"/>
          <w:szCs w:val="32"/>
        </w:rPr>
        <w:t>
</w:t>
      </w:r>
    </w:p>
    <w:p w14:paraId="569B6005">
      <w:pPr>
        <w:keepNext w:val="0"/>
        <w:keepLines w:val="0"/>
        <w:pageBreakBefore w:val="0"/>
        <w:widowControl w:val="0"/>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 xml:space="preserve">第二十三条 </w:t>
      </w:r>
      <w:r>
        <w:rPr>
          <w:rFonts w:hint="eastAsia" w:ascii="仿宋_GB2312" w:hAnsi="仿宋_GB2312" w:eastAsia="仿宋_GB2312" w:cs="仿宋_GB2312"/>
          <w:b w:val="0"/>
          <w:bCs w:val="0"/>
          <w:color w:val="auto"/>
          <w:sz w:val="32"/>
          <w:szCs w:val="32"/>
          <w:lang w:val="en-US" w:eastAsia="zh-CN"/>
        </w:rPr>
        <w:t>智库运管中心根据成果鉴定意见，提出结项审批建议，报智库工作委员会审议。</w:t>
      </w:r>
    </w:p>
    <w:p w14:paraId="0FEF5D5D">
      <w:pPr>
        <w:keepNext w:val="0"/>
        <w:keepLines w:val="0"/>
        <w:pageBreakBefore w:val="0"/>
        <w:widowControl w:val="0"/>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第二十四条</w:t>
      </w:r>
      <w:r>
        <w:rPr>
          <w:rFonts w:hint="eastAsia" w:ascii="仿宋_GB2312" w:hAnsi="仿宋_GB2312" w:eastAsia="仿宋_GB2312" w:cs="仿宋_GB2312"/>
          <w:b w:val="0"/>
          <w:bCs w:val="0"/>
          <w:color w:val="auto"/>
          <w:sz w:val="32"/>
          <w:szCs w:val="32"/>
          <w:lang w:val="en-US" w:eastAsia="zh-CN"/>
        </w:rPr>
        <w:t xml:space="preserve"> 经智库工作委员会审批通过的课题，准予结项，由智库运管中心制作并发放《吉林省国资国企智库课题结项证书》。</w:t>
      </w:r>
    </w:p>
    <w:p w14:paraId="761A0902">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第二十五条</w:t>
      </w:r>
      <w:r>
        <w:rPr>
          <w:rFonts w:hint="eastAsia" w:ascii="仿宋_GB2312" w:hAnsi="仿宋_GB2312" w:eastAsia="仿宋_GB2312" w:cs="仿宋_GB2312"/>
          <w:b w:val="0"/>
          <w:bCs w:val="0"/>
          <w:color w:val="auto"/>
          <w:sz w:val="32"/>
          <w:szCs w:val="32"/>
          <w:lang w:val="en-US" w:eastAsia="zh-CN"/>
        </w:rPr>
        <w:t xml:space="preserve"> 结项证书应当载明课题名称、课题编号、课题负责人、课题承担单位、成果形式、鉴定等级、结项时间等信息。</w:t>
      </w:r>
    </w:p>
    <w:p w14:paraId="30955F2D">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第二十六条</w:t>
      </w:r>
      <w:r>
        <w:rPr>
          <w:rFonts w:hint="eastAsia" w:ascii="仿宋_GB2312" w:hAnsi="仿宋_GB2312" w:eastAsia="仿宋_GB2312" w:cs="仿宋_GB2312"/>
          <w:b w:val="0"/>
          <w:bCs w:val="0"/>
          <w:color w:val="auto"/>
          <w:sz w:val="32"/>
          <w:szCs w:val="32"/>
          <w:lang w:val="en-US" w:eastAsia="zh-CN"/>
        </w:rPr>
        <w:t xml:space="preserve"> 智库运管中心负责建立课题成果库，对结项课题成果进行登记、分类、归档，实现成果资源共享。结项材料归档保存期限按照档案管理有关规定执行。</w:t>
      </w:r>
    </w:p>
    <w:p w14:paraId="4F448C6E">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 xml:space="preserve">第二十七条 </w:t>
      </w:r>
      <w:r>
        <w:rPr>
          <w:rFonts w:hint="eastAsia" w:ascii="仿宋_GB2312" w:hAnsi="仿宋_GB2312" w:eastAsia="仿宋_GB2312" w:cs="仿宋_GB2312"/>
          <w:b w:val="0"/>
          <w:bCs w:val="0"/>
          <w:color w:val="auto"/>
          <w:sz w:val="32"/>
          <w:szCs w:val="32"/>
          <w:lang w:val="en-US" w:eastAsia="zh-CN"/>
        </w:rPr>
        <w:t>课题结项后，智库运管中心按照《吉林省国资国企智库课题经费管理办法（试行）》的有关规定，办理经费结算手续。鉴定为不合格的，视情况追缴项目结余资金或全部资金。</w:t>
      </w:r>
    </w:p>
    <w:p w14:paraId="1778B122">
      <w:pPr>
        <w:pStyle w:val="4"/>
        <w:keepNext w:val="0"/>
        <w:keepLines w:val="0"/>
        <w:pageBreakBefore w:val="0"/>
        <w:widowControl/>
        <w:kinsoku/>
        <w:wordWrap/>
        <w:overflowPunct/>
        <w:topLinePunct w:val="0"/>
        <w:autoSpaceDE/>
        <w:autoSpaceDN/>
        <w:bidi w:val="0"/>
        <w:adjustRightInd w:val="0"/>
        <w:snapToGrid w:val="0"/>
        <w:spacing w:before="0" w:after="0" w:line="660" w:lineRule="exact"/>
        <w:ind w:left="0" w:leftChars="0" w:right="0" w:rightChars="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第</w:t>
      </w:r>
      <w:r>
        <w:rPr>
          <w:rFonts w:hint="eastAsia" w:ascii="黑体" w:hAnsi="黑体" w:eastAsia="黑体" w:cs="黑体"/>
          <w:b w:val="0"/>
          <w:bCs w:val="0"/>
          <w:color w:val="auto"/>
          <w:sz w:val="32"/>
          <w:szCs w:val="32"/>
          <w:lang w:val="en-US" w:eastAsia="zh-CN"/>
        </w:rPr>
        <w:t>六</w:t>
      </w:r>
      <w:r>
        <w:rPr>
          <w:rFonts w:hint="eastAsia" w:ascii="黑体" w:hAnsi="黑体" w:eastAsia="黑体" w:cs="黑体"/>
          <w:b w:val="0"/>
          <w:bCs w:val="0"/>
          <w:color w:val="auto"/>
          <w:sz w:val="32"/>
          <w:szCs w:val="32"/>
        </w:rPr>
        <w:t>章</w:t>
      </w:r>
      <w:r>
        <w:rPr>
          <w:rFonts w:hint="eastAsia" w:ascii="黑体" w:hAnsi="黑体" w:eastAsia="黑体" w:cs="黑体"/>
          <w:b w:val="0"/>
          <w:bCs w:val="0"/>
          <w:color w:val="auto"/>
          <w:sz w:val="32"/>
          <w:szCs w:val="32"/>
          <w:lang w:val="en-US" w:eastAsia="zh-CN"/>
        </w:rPr>
        <w:t xml:space="preserve"> 成果转化</w:t>
      </w:r>
      <w:r>
        <w:rPr>
          <w:rFonts w:hint="eastAsia" w:ascii="黑体" w:hAnsi="黑体" w:eastAsia="黑体" w:cs="黑体"/>
          <w:b w:val="0"/>
          <w:bCs w:val="0"/>
          <w:color w:val="auto"/>
          <w:sz w:val="32"/>
          <w:szCs w:val="32"/>
        </w:rPr>
        <w:t>
</w:t>
      </w:r>
    </w:p>
    <w:p w14:paraId="350D1483">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 xml:space="preserve">第二十八条 </w:t>
      </w:r>
      <w:r>
        <w:rPr>
          <w:rFonts w:hint="eastAsia" w:ascii="仿宋_GB2312" w:hAnsi="仿宋_GB2312" w:eastAsia="仿宋_GB2312" w:cs="仿宋_GB2312"/>
          <w:b w:val="0"/>
          <w:bCs w:val="0"/>
          <w:color w:val="auto"/>
          <w:sz w:val="32"/>
          <w:szCs w:val="32"/>
          <w:lang w:val="en-US" w:eastAsia="zh-CN"/>
        </w:rPr>
        <w:t>智库运管中心负责建立成果转化应用机制，推动课题成果转化应用，定期向相关决策部门、省属企业报送研究成果。</w:t>
      </w:r>
    </w:p>
    <w:p w14:paraId="638F77BC">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第二十九条</w:t>
      </w:r>
      <w:r>
        <w:rPr>
          <w:rFonts w:hint="eastAsia" w:ascii="仿宋_GB2312" w:hAnsi="仿宋_GB2312" w:eastAsia="仿宋_GB2312" w:cs="仿宋_GB2312"/>
          <w:b w:val="0"/>
          <w:bCs w:val="0"/>
          <w:color w:val="auto"/>
          <w:sz w:val="32"/>
          <w:szCs w:val="32"/>
          <w:lang w:val="en-US" w:eastAsia="zh-CN"/>
        </w:rPr>
        <w:t xml:space="preserve"> 对具有重要决策参考价值的优秀研究成果，智库运管中心应当通过以下方式推动转化应用：</w:t>
      </w:r>
    </w:p>
    <w:p w14:paraId="7556AF0C">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（一）以智库专报、要情等形式报送省委、省政府及省国资委等相关部门；</w:t>
      </w:r>
    </w:p>
    <w:p w14:paraId="07A598E0">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（二）向省属企业推荐应用，推动成果落地；</w:t>
      </w:r>
    </w:p>
    <w:p w14:paraId="040BEFCD">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（三）组织成果交流研讨活动，促进成果共享；</w:t>
      </w:r>
    </w:p>
    <w:p w14:paraId="55CF49BD">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（四）定期将优秀成果汇编出版或推荐发表；</w:t>
      </w:r>
    </w:p>
    <w:p w14:paraId="09CFDA08">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（五）其他有利于成果转化的方式。</w:t>
      </w:r>
    </w:p>
    <w:p w14:paraId="2B025476">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第三十条</w:t>
      </w:r>
      <w:r>
        <w:rPr>
          <w:rFonts w:hint="eastAsia" w:ascii="仿宋_GB2312" w:hAnsi="仿宋_GB2312" w:eastAsia="仿宋_GB2312" w:cs="仿宋_GB2312"/>
          <w:b w:val="0"/>
          <w:bCs w:val="0"/>
          <w:color w:val="auto"/>
          <w:sz w:val="32"/>
          <w:szCs w:val="32"/>
          <w:lang w:val="en-US" w:eastAsia="zh-CN"/>
        </w:rPr>
        <w:t xml:space="preserve"> 出题单位应当积极推动课题成果在本部门、本单位的转化应用，及时将成果应用情况反馈智库运管中心。</w:t>
      </w:r>
    </w:p>
    <w:p w14:paraId="58B35E61">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第三十一条</w:t>
      </w:r>
      <w:r>
        <w:rPr>
          <w:rFonts w:hint="eastAsia" w:ascii="仿宋_GB2312" w:hAnsi="仿宋_GB2312" w:eastAsia="仿宋_GB2312" w:cs="仿宋_GB2312"/>
          <w:b w:val="0"/>
          <w:bCs w:val="0"/>
          <w:color w:val="auto"/>
          <w:sz w:val="32"/>
          <w:szCs w:val="32"/>
          <w:lang w:val="en-US" w:eastAsia="zh-CN"/>
        </w:rPr>
        <w:t xml:space="preserve"> 建立优秀成果激励机制。对鉴定为优秀等级、转化应用成效显著的课题负责人，在后续课题申报中给予优先支持。</w:t>
      </w:r>
    </w:p>
    <w:p w14:paraId="512B2484">
      <w:pPr>
        <w:pStyle w:val="4"/>
        <w:keepNext w:val="0"/>
        <w:keepLines w:val="0"/>
        <w:pageBreakBefore w:val="0"/>
        <w:widowControl/>
        <w:kinsoku/>
        <w:wordWrap/>
        <w:overflowPunct/>
        <w:topLinePunct w:val="0"/>
        <w:autoSpaceDE/>
        <w:autoSpaceDN/>
        <w:bidi w:val="0"/>
        <w:adjustRightInd w:val="0"/>
        <w:snapToGrid w:val="0"/>
        <w:spacing w:before="0" w:after="0" w:line="660" w:lineRule="exact"/>
        <w:ind w:left="0" w:leftChars="0" w:right="0" w:rightChars="0" w:firstLine="0" w:firstLineChars="0"/>
        <w:jc w:val="center"/>
        <w:textAlignment w:val="auto"/>
        <w:rPr>
          <w:rFonts w:hint="eastAsia" w:ascii="楷体" w:hAnsi="楷体" w:eastAsia="楷体" w:cs="楷体"/>
          <w:color w:val="auto"/>
          <w:sz w:val="32"/>
          <w:szCs w:val="32"/>
        </w:rPr>
      </w:pPr>
      <w:r>
        <w:rPr>
          <w:rFonts w:hint="eastAsia" w:ascii="黑体" w:hAnsi="黑体" w:eastAsia="黑体" w:cs="黑体"/>
          <w:b w:val="0"/>
          <w:bCs w:val="0"/>
          <w:color w:val="auto"/>
          <w:sz w:val="32"/>
          <w:szCs w:val="32"/>
        </w:rPr>
        <w:t>第</w:t>
      </w:r>
      <w:r>
        <w:rPr>
          <w:rFonts w:hint="eastAsia" w:ascii="黑体" w:hAnsi="黑体" w:eastAsia="黑体" w:cs="黑体"/>
          <w:b w:val="0"/>
          <w:bCs w:val="0"/>
          <w:color w:val="auto"/>
          <w:sz w:val="32"/>
          <w:szCs w:val="32"/>
          <w:lang w:val="en-US" w:eastAsia="zh-CN"/>
        </w:rPr>
        <w:t>七</w:t>
      </w:r>
      <w:r>
        <w:rPr>
          <w:rFonts w:hint="eastAsia" w:ascii="黑体" w:hAnsi="黑体" w:eastAsia="黑体" w:cs="黑体"/>
          <w:b w:val="0"/>
          <w:bCs w:val="0"/>
          <w:color w:val="auto"/>
          <w:sz w:val="32"/>
          <w:szCs w:val="32"/>
        </w:rPr>
        <w:t>章</w:t>
      </w:r>
      <w:r>
        <w:rPr>
          <w:rFonts w:hint="eastAsia" w:ascii="黑体" w:hAnsi="黑体" w:eastAsia="黑体" w:cs="黑体"/>
          <w:b w:val="0"/>
          <w:bCs w:val="0"/>
          <w:color w:val="auto"/>
          <w:sz w:val="32"/>
          <w:szCs w:val="32"/>
          <w:lang w:val="en-US" w:eastAsia="zh-CN"/>
        </w:rPr>
        <w:t xml:space="preserve"> 撤项与违规处理</w:t>
      </w:r>
      <w:r>
        <w:rPr>
          <w:rFonts w:hint="eastAsia" w:ascii="黑体" w:hAnsi="黑体" w:eastAsia="黑体" w:cs="黑体"/>
          <w:b w:val="0"/>
          <w:bCs w:val="0"/>
          <w:color w:val="auto"/>
          <w:sz w:val="32"/>
          <w:szCs w:val="32"/>
        </w:rPr>
        <w:t>
</w:t>
      </w:r>
    </w:p>
    <w:p w14:paraId="74ADDA2B">
      <w:pPr>
        <w:pStyle w:val="4"/>
        <w:keepNext w:val="0"/>
        <w:keepLines w:val="0"/>
        <w:pageBreakBefore w:val="0"/>
        <w:widowControl w:val="0"/>
        <w:kinsoku/>
        <w:wordWrap/>
        <w:overflowPunct/>
        <w:topLinePunct w:val="0"/>
        <w:autoSpaceDE/>
        <w:autoSpaceDN/>
        <w:bidi w:val="0"/>
        <w:adjustRightInd/>
        <w:snapToGrid/>
        <w:spacing w:before="0" w:after="0" w:line="576" w:lineRule="exact"/>
        <w:ind w:firstLine="643" w:firstLineChars="200"/>
        <w:jc w:val="both"/>
        <w:textAlignment w:val="auto"/>
        <w:rPr>
          <w:rFonts w:hint="eastAsia" w:ascii="仿宋_GB2312" w:hAnsi="仿宋_GB2312" w:eastAsia="仿宋_GB2312" w:cs="仿宋_GB2312"/>
          <w:b w:val="0"/>
          <w:bCs w:val="0"/>
          <w:color w:val="auto"/>
          <w:sz w:val="32"/>
          <w:szCs w:val="32"/>
          <w:highlight w:val="yellow"/>
          <w:lang w:val="en-US" w:eastAsia="zh-CN"/>
        </w:rPr>
      </w:pPr>
      <w:r>
        <w:rPr>
          <w:rFonts w:hint="eastAsia" w:ascii="楷体" w:hAnsi="楷体" w:eastAsia="楷体" w:cs="楷体"/>
          <w:b/>
          <w:bCs/>
          <w:color w:val="auto"/>
          <w:sz w:val="32"/>
          <w:szCs w:val="32"/>
          <w:lang w:val="en-US" w:eastAsia="zh-CN"/>
        </w:rPr>
        <w:t>第三十二条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在课题研究过程中，凡有下列情形之一者，由智库作撤销课题处理，同时视情况追缴项目结余资金或全部资金：</w:t>
      </w:r>
    </w:p>
    <w:p w14:paraId="2A6BA46B">
      <w:pPr>
        <w:pStyle w:val="23"/>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（一）研究成果有重大政治问题或抄袭、造假等严重学术不端行为；</w:t>
      </w:r>
    </w:p>
    <w:p w14:paraId="6C2B37E2">
      <w:pPr>
        <w:pStyle w:val="23"/>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（二）两次鉴定未能通过；</w:t>
      </w:r>
    </w:p>
    <w:p w14:paraId="7ED121DC">
      <w:pPr>
        <w:pStyle w:val="23"/>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（三）擅自更改研究内容和计划；</w:t>
      </w:r>
    </w:p>
    <w:p w14:paraId="004C393F">
      <w:pPr>
        <w:pStyle w:val="23"/>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（四）逾期不提交延期申请，或延期到期仍不能完成；</w:t>
      </w:r>
    </w:p>
    <w:p w14:paraId="5DF5BB53">
      <w:pPr>
        <w:pStyle w:val="23"/>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（五）严重违反课题经费使用和财务管理制度；</w:t>
      </w:r>
    </w:p>
    <w:p w14:paraId="17846C30">
      <w:pPr>
        <w:pStyle w:val="23"/>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（六）存在其他严重情况。 </w:t>
      </w:r>
    </w:p>
    <w:p w14:paraId="67B3E311">
      <w:pPr>
        <w:pStyle w:val="4"/>
        <w:keepNext w:val="0"/>
        <w:keepLines w:val="0"/>
        <w:pageBreakBefore w:val="0"/>
        <w:kinsoku/>
        <w:wordWrap/>
        <w:overflowPunct/>
        <w:topLinePunct w:val="0"/>
        <w:autoSpaceDE/>
        <w:autoSpaceDN/>
        <w:bidi w:val="0"/>
        <w:adjustRightInd/>
        <w:snapToGrid/>
        <w:spacing w:before="0" w:after="0"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第三十三条</w:t>
      </w:r>
      <w:r>
        <w:rPr>
          <w:rFonts w:hint="eastAsia" w:ascii="仿宋_GB2312" w:hAnsi="仿宋_GB2312" w:eastAsia="仿宋_GB2312" w:cs="仿宋_GB2312"/>
          <w:b w:val="0"/>
          <w:bCs w:val="0"/>
          <w:color w:val="auto"/>
          <w:sz w:val="32"/>
          <w:szCs w:val="32"/>
          <w:lang w:val="en-US" w:eastAsia="zh-CN"/>
        </w:rPr>
        <w:t xml:space="preserve"> 撤销课题由智库运管中心提出意见，报智库工作委员会审批决定。决定撤销的，由智库运管中心书面通知课题承担单位和课题负责人。</w:t>
      </w:r>
    </w:p>
    <w:p w14:paraId="46A5650B">
      <w:pPr>
        <w:pStyle w:val="4"/>
        <w:keepNext w:val="0"/>
        <w:keepLines w:val="0"/>
        <w:pageBreakBefore w:val="0"/>
        <w:kinsoku/>
        <w:wordWrap/>
        <w:overflowPunct/>
        <w:topLinePunct w:val="0"/>
        <w:autoSpaceDE/>
        <w:autoSpaceDN/>
        <w:bidi w:val="0"/>
        <w:adjustRightInd/>
        <w:snapToGrid/>
        <w:spacing w:before="0" w:after="0" w:line="576" w:lineRule="exact"/>
        <w:ind w:firstLine="643" w:firstLineChars="200"/>
        <w:jc w:val="both"/>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 xml:space="preserve">第三十四条 </w:t>
      </w:r>
      <w:r>
        <w:rPr>
          <w:rFonts w:hint="eastAsia" w:ascii="仿宋_GB2312" w:hAnsi="仿宋_GB2312" w:eastAsia="仿宋_GB2312" w:cs="仿宋_GB2312"/>
          <w:b w:val="0"/>
          <w:bCs w:val="0"/>
          <w:color w:val="auto"/>
          <w:sz w:val="32"/>
          <w:szCs w:val="32"/>
          <w:lang w:val="en-US" w:eastAsia="zh-CN"/>
        </w:rPr>
        <w:t>被撤项的课题负责人，三年内不得申报智库课题；情节严重的，取消其永久申报资格，并视情况在一定范围内予以通报。</w:t>
      </w:r>
    </w:p>
    <w:p w14:paraId="6791CE32">
      <w:pPr>
        <w:pStyle w:val="4"/>
        <w:keepNext w:val="0"/>
        <w:keepLines w:val="0"/>
        <w:pageBreakBefore w:val="0"/>
        <w:kinsoku/>
        <w:wordWrap/>
        <w:overflowPunct/>
        <w:topLinePunct w:val="0"/>
        <w:autoSpaceDE/>
        <w:autoSpaceDN/>
        <w:bidi w:val="0"/>
        <w:adjustRightInd/>
        <w:snapToGrid/>
        <w:spacing w:before="0" w:after="0"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第三十五条</w:t>
      </w:r>
      <w:r>
        <w:rPr>
          <w:rFonts w:hint="eastAsia" w:ascii="仿宋_GB2312" w:hAnsi="仿宋_GB2312" w:eastAsia="仿宋_GB2312" w:cs="仿宋_GB2312"/>
          <w:b w:val="0"/>
          <w:bCs w:val="0"/>
          <w:color w:val="auto"/>
          <w:sz w:val="32"/>
          <w:szCs w:val="32"/>
          <w:lang w:val="en-US" w:eastAsia="zh-CN"/>
        </w:rPr>
        <w:t xml:space="preserve"> 课题承担单位存在管理不善、审核不严、弄虚作假等情况的，视情节轻重给予警告、暂停申报资格、取消申报资格等处理。</w:t>
      </w:r>
    </w:p>
    <w:p w14:paraId="0E0AB60E">
      <w:pPr>
        <w:pStyle w:val="4"/>
        <w:keepNext w:val="0"/>
        <w:keepLines w:val="0"/>
        <w:pageBreakBefore w:val="0"/>
        <w:kinsoku/>
        <w:wordWrap/>
        <w:overflowPunct/>
        <w:topLinePunct w:val="0"/>
        <w:autoSpaceDE/>
        <w:autoSpaceDN/>
        <w:bidi w:val="0"/>
        <w:adjustRightInd/>
        <w:snapToGrid/>
        <w:spacing w:before="0" w:after="0" w:line="576" w:lineRule="exact"/>
        <w:ind w:firstLine="643" w:firstLineChars="200"/>
        <w:jc w:val="both"/>
        <w:textAlignment w:val="auto"/>
        <w:rPr>
          <w:rFonts w:hint="eastAsia" w:ascii="楷体" w:hAnsi="楷体" w:eastAsia="楷体" w:cs="楷体"/>
          <w:color w:val="auto"/>
          <w:sz w:val="32"/>
          <w:szCs w:val="32"/>
        </w:rPr>
      </w:pPr>
      <w:r>
        <w:rPr>
          <w:rFonts w:hint="eastAsia" w:ascii="楷体" w:hAnsi="楷体" w:eastAsia="楷体" w:cs="楷体"/>
          <w:b/>
          <w:bCs/>
          <w:color w:val="auto"/>
          <w:sz w:val="32"/>
          <w:szCs w:val="32"/>
          <w:lang w:val="en-US" w:eastAsia="zh-CN"/>
        </w:rPr>
        <w:t>第三十六条</w:t>
      </w:r>
      <w:r>
        <w:rPr>
          <w:rFonts w:hint="eastAsia" w:ascii="仿宋_GB2312" w:hAnsi="仿宋_GB2312" w:eastAsia="仿宋_GB2312" w:cs="仿宋_GB2312"/>
          <w:b w:val="0"/>
          <w:bCs w:val="0"/>
          <w:color w:val="auto"/>
          <w:sz w:val="32"/>
          <w:szCs w:val="32"/>
          <w:lang w:val="en-US" w:eastAsia="zh-CN"/>
        </w:rPr>
        <w:t xml:space="preserve"> 鉴定专家在鉴定工作中存在徇私舞弊、泄露秘密等违规行为的，取消其专家资格，并视情况在一定范围内予以通报。</w:t>
      </w:r>
    </w:p>
    <w:p w14:paraId="3C78CF40">
      <w:pPr>
        <w:pStyle w:val="4"/>
        <w:keepNext w:val="0"/>
        <w:keepLines w:val="0"/>
        <w:pageBreakBefore w:val="0"/>
        <w:widowControl/>
        <w:kinsoku/>
        <w:wordWrap/>
        <w:overflowPunct/>
        <w:topLinePunct w:val="0"/>
        <w:autoSpaceDE/>
        <w:autoSpaceDN/>
        <w:bidi w:val="0"/>
        <w:adjustRightInd w:val="0"/>
        <w:snapToGrid w:val="0"/>
        <w:spacing w:before="0" w:after="0" w:line="660" w:lineRule="exact"/>
        <w:ind w:left="0" w:leftChars="0" w:right="0" w:rightChars="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第</w:t>
      </w:r>
      <w:r>
        <w:rPr>
          <w:rFonts w:hint="eastAsia" w:ascii="黑体" w:hAnsi="黑体" w:eastAsia="黑体" w:cs="黑体"/>
          <w:b w:val="0"/>
          <w:bCs w:val="0"/>
          <w:color w:val="auto"/>
          <w:sz w:val="32"/>
          <w:szCs w:val="32"/>
          <w:lang w:val="en-US" w:eastAsia="zh-CN"/>
        </w:rPr>
        <w:t>八</w:t>
      </w:r>
      <w:r>
        <w:rPr>
          <w:rFonts w:hint="eastAsia" w:ascii="黑体" w:hAnsi="黑体" w:eastAsia="黑体" w:cs="黑体"/>
          <w:b w:val="0"/>
          <w:bCs w:val="0"/>
          <w:color w:val="auto"/>
          <w:sz w:val="32"/>
          <w:szCs w:val="32"/>
        </w:rPr>
        <w:t>章</w:t>
      </w:r>
      <w:r>
        <w:rPr>
          <w:rFonts w:hint="eastAsia" w:ascii="黑体" w:hAnsi="黑体" w:eastAsia="黑体" w:cs="黑体"/>
          <w:b w:val="0"/>
          <w:bCs w:val="0"/>
          <w:color w:val="auto"/>
          <w:sz w:val="32"/>
          <w:szCs w:val="32"/>
          <w:lang w:val="en-US" w:eastAsia="zh-CN"/>
        </w:rPr>
        <w:t xml:space="preserve"> </w:t>
      </w:r>
      <w:r>
        <w:rPr>
          <w:rFonts w:hint="eastAsia" w:ascii="黑体" w:hAnsi="黑体" w:eastAsia="黑体" w:cs="黑体"/>
          <w:b w:val="0"/>
          <w:bCs w:val="0"/>
          <w:color w:val="auto"/>
          <w:sz w:val="32"/>
          <w:szCs w:val="32"/>
        </w:rPr>
        <w:t>附</w:t>
      </w:r>
      <w:r>
        <w:rPr>
          <w:rFonts w:hint="eastAsia" w:ascii="黑体" w:hAnsi="黑体" w:eastAsia="黑体" w:cs="黑体"/>
          <w:b w:val="0"/>
          <w:bCs w:val="0"/>
          <w:color w:val="auto"/>
          <w:sz w:val="32"/>
          <w:szCs w:val="32"/>
          <w:lang w:val="en-US" w:eastAsia="zh-CN"/>
        </w:rPr>
        <w:t xml:space="preserve"> </w:t>
      </w:r>
      <w:r>
        <w:rPr>
          <w:rFonts w:hint="eastAsia" w:ascii="黑体" w:hAnsi="黑体" w:eastAsia="黑体" w:cs="黑体"/>
          <w:b w:val="0"/>
          <w:bCs w:val="0"/>
          <w:color w:val="auto"/>
          <w:sz w:val="32"/>
          <w:szCs w:val="32"/>
        </w:rPr>
        <w:t>则</w:t>
      </w:r>
    </w:p>
    <w:p w14:paraId="3E930486">
      <w:pPr>
        <w:pStyle w:val="4"/>
        <w:keepNext w:val="0"/>
        <w:keepLines w:val="0"/>
        <w:pageBreakBefore w:val="0"/>
        <w:kinsoku/>
        <w:wordWrap/>
        <w:overflowPunct/>
        <w:topLinePunct w:val="0"/>
        <w:autoSpaceDE/>
        <w:autoSpaceDN/>
        <w:bidi w:val="0"/>
        <w:adjustRightInd/>
        <w:snapToGrid/>
        <w:spacing w:before="0" w:after="0"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第三十七条</w:t>
      </w:r>
      <w:r>
        <w:rPr>
          <w:rFonts w:hint="eastAsia" w:ascii="仿宋_GB2312" w:hAnsi="仿宋_GB2312" w:eastAsia="仿宋_GB2312" w:cs="仿宋_GB2312"/>
          <w:b w:val="0"/>
          <w:bCs w:val="0"/>
          <w:color w:val="auto"/>
          <w:sz w:val="32"/>
          <w:szCs w:val="32"/>
          <w:lang w:val="en-US" w:eastAsia="zh-CN"/>
        </w:rPr>
        <w:t xml:space="preserve"> 因智库运管中心登记信息变更导致本细则中相关主体信息需适配的，以该主体完成合规变更后的登记信息为准，其管理相关职责与义务保持不变。</w:t>
      </w:r>
    </w:p>
    <w:p w14:paraId="2498783B">
      <w:pPr>
        <w:pStyle w:val="4"/>
        <w:keepNext w:val="0"/>
        <w:keepLines w:val="0"/>
        <w:pageBreakBefore w:val="0"/>
        <w:kinsoku/>
        <w:wordWrap/>
        <w:overflowPunct/>
        <w:topLinePunct w:val="0"/>
        <w:autoSpaceDE/>
        <w:autoSpaceDN/>
        <w:bidi w:val="0"/>
        <w:adjustRightInd/>
        <w:snapToGrid/>
        <w:spacing w:before="0" w:after="0"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第三十八条</w:t>
      </w:r>
      <w:r>
        <w:rPr>
          <w:rFonts w:hint="eastAsia" w:ascii="仿宋_GB2312" w:hAnsi="仿宋_GB2312" w:eastAsia="仿宋_GB2312" w:cs="仿宋_GB2312"/>
          <w:b w:val="0"/>
          <w:bCs w:val="0"/>
          <w:color w:val="auto"/>
          <w:sz w:val="32"/>
          <w:szCs w:val="32"/>
          <w:lang w:val="en-US" w:eastAsia="zh-CN"/>
        </w:rPr>
        <w:t xml:space="preserve"> 本细则由智库工作委员会负责解释。</w:t>
      </w:r>
    </w:p>
    <w:p w14:paraId="1C5F3BAC">
      <w:pPr>
        <w:pStyle w:val="4"/>
        <w:keepNext w:val="0"/>
        <w:keepLines w:val="0"/>
        <w:pageBreakBefore w:val="0"/>
        <w:kinsoku/>
        <w:wordWrap/>
        <w:overflowPunct/>
        <w:topLinePunct w:val="0"/>
        <w:autoSpaceDE/>
        <w:autoSpaceDN/>
        <w:bidi w:val="0"/>
        <w:adjustRightInd/>
        <w:snapToGrid/>
        <w:spacing w:before="0" w:after="0" w:line="576"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 w:hAnsi="楷体" w:eastAsia="楷体" w:cs="楷体"/>
          <w:b/>
          <w:bCs/>
          <w:color w:val="auto"/>
          <w:sz w:val="32"/>
          <w:szCs w:val="32"/>
          <w:lang w:val="en-US" w:eastAsia="zh-CN"/>
        </w:rPr>
        <w:t>第三十九条</w:t>
      </w:r>
      <w:r>
        <w:rPr>
          <w:rFonts w:hint="eastAsia" w:ascii="仿宋_GB2312" w:hAnsi="仿宋_GB2312" w:eastAsia="仿宋_GB2312" w:cs="仿宋_GB2312"/>
          <w:b w:val="0"/>
          <w:bCs w:val="0"/>
          <w:color w:val="auto"/>
          <w:sz w:val="32"/>
          <w:szCs w:val="32"/>
          <w:lang w:val="en-US" w:eastAsia="zh-CN"/>
        </w:rPr>
        <w:t xml:space="preserve"> 本细则自发布之日起实施。</w:t>
      </w:r>
    </w:p>
    <w:p w14:paraId="28AFFBDF">
      <w:pPr>
        <w:rPr>
          <w:rFonts w:hint="eastAsia" w:ascii="仿宋_GB2312" w:hAnsi="仿宋_GB2312" w:eastAsia="仿宋_GB2312" w:cs="仿宋_GB2312"/>
          <w:b w:val="0"/>
          <w:bCs w:val="0"/>
          <w:color w:val="auto"/>
          <w:sz w:val="32"/>
          <w:szCs w:val="32"/>
          <w:lang w:val="en-US" w:eastAsia="zh-CN"/>
        </w:rPr>
      </w:pPr>
    </w:p>
    <w:p w14:paraId="07835CBA">
      <w:pPr>
        <w:rPr>
          <w:rFonts w:hint="eastAsia" w:ascii="仿宋_GB2312" w:hAnsi="仿宋_GB2312" w:eastAsia="仿宋_GB2312" w:cs="仿宋_GB2312"/>
          <w:b w:val="0"/>
          <w:bCs w:val="0"/>
          <w:color w:val="auto"/>
          <w:sz w:val="32"/>
          <w:szCs w:val="32"/>
          <w:lang w:val="en-US" w:eastAsia="zh-CN"/>
        </w:rPr>
      </w:pPr>
    </w:p>
    <w:p w14:paraId="05AA1E21">
      <w:pPr>
        <w:rPr>
          <w:rFonts w:hint="eastAsia" w:ascii="仿宋_GB2312" w:hAnsi="仿宋_GB2312" w:eastAsia="仿宋_GB2312" w:cs="仿宋_GB2312"/>
          <w:b w:val="0"/>
          <w:bCs w:val="0"/>
          <w:color w:val="auto"/>
          <w:sz w:val="32"/>
          <w:szCs w:val="32"/>
          <w:lang w:val="en-US" w:eastAsia="zh-CN"/>
        </w:rPr>
      </w:pPr>
    </w:p>
    <w:p w14:paraId="129FCA98">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3" w:afterAutospacing="0" w:line="368" w:lineRule="atLeast"/>
        <w:ind w:left="0" w:right="0" w:firstLine="420"/>
        <w:jc w:val="right"/>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吉林省国资国企智库工作委员会</w:t>
      </w:r>
    </w:p>
    <w:p w14:paraId="2A44ED40">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3" w:afterAutospacing="0" w:line="368" w:lineRule="atLeast"/>
        <w:ind w:left="0" w:right="0" w:firstLine="420"/>
        <w:jc w:val="center"/>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 xml:space="preserve">                          2026年8月31日</w:t>
      </w:r>
    </w:p>
    <w:p w14:paraId="34091EBE">
      <w:pPr>
        <w:rPr>
          <w:rFonts w:hint="default" w:ascii="仿宋_GB2312" w:hAnsi="仿宋_GB2312" w:eastAsia="仿宋_GB2312" w:cs="仿宋_GB2312"/>
          <w:b w:val="0"/>
          <w:bCs w:val="0"/>
          <w:color w:val="auto"/>
          <w:sz w:val="32"/>
          <w:szCs w:val="32"/>
          <w:lang w:val="en-US" w:eastAsia="zh-CN"/>
        </w:rPr>
      </w:pPr>
    </w:p>
    <w:sectPr>
      <w:footerReference r:id="rId3" w:type="default"/>
      <w:pgSz w:w="11906" w:h="16838"/>
      <w:pgMar w:top="2098" w:right="1474" w:bottom="1984" w:left="1587" w:header="708" w:footer="708" w:gutter="0"/>
      <w:pgBorders>
        <w:top w:val="none" w:sz="0" w:space="0"/>
        <w:left w:val="none" w:sz="0" w:space="0"/>
        <w:bottom w:val="none" w:sz="0" w:space="0"/>
        <w:right w:val="none" w:sz="0" w:space="0"/>
      </w:pgBorders>
      <w:pgNumType w:fmt="numberInDash"/>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长城大标宋体">
    <w:panose1 w:val="02010609010101010101"/>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EA639">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E330FE">
                          <w:pPr>
                            <w:pStyle w:val="10"/>
                            <w:rPr>
                              <w:rFonts w:hint="eastAsia" w:asciiTheme="majorEastAsia" w:hAnsiTheme="majorEastAsia" w:eastAsiaTheme="majorEastAsia" w:cstheme="maj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E330FE">
                    <w:pPr>
                      <w:pStyle w:val="10"/>
                      <w:rPr>
                        <w:rFonts w:hint="eastAsia" w:asciiTheme="majorEastAsia" w:hAnsiTheme="majorEastAsia" w:eastAsiaTheme="majorEastAsia" w:cstheme="maj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00271E37"/>
    <w:rsid w:val="01505549"/>
    <w:rsid w:val="017E2A82"/>
    <w:rsid w:val="01FB40D3"/>
    <w:rsid w:val="023D293E"/>
    <w:rsid w:val="026D5271"/>
    <w:rsid w:val="03830824"/>
    <w:rsid w:val="03CA0201"/>
    <w:rsid w:val="040302F9"/>
    <w:rsid w:val="04155207"/>
    <w:rsid w:val="04954E15"/>
    <w:rsid w:val="04CA2592"/>
    <w:rsid w:val="053E7F1C"/>
    <w:rsid w:val="05CD75B3"/>
    <w:rsid w:val="06127C3D"/>
    <w:rsid w:val="068F1732"/>
    <w:rsid w:val="07072F52"/>
    <w:rsid w:val="07196BE5"/>
    <w:rsid w:val="072F4F4B"/>
    <w:rsid w:val="078132CC"/>
    <w:rsid w:val="07FD7B72"/>
    <w:rsid w:val="08031A3C"/>
    <w:rsid w:val="083D4E69"/>
    <w:rsid w:val="08FD4BD5"/>
    <w:rsid w:val="09207EA3"/>
    <w:rsid w:val="093F6F9B"/>
    <w:rsid w:val="097F0A82"/>
    <w:rsid w:val="0AED29B3"/>
    <w:rsid w:val="0B4B7E79"/>
    <w:rsid w:val="0BAA1044"/>
    <w:rsid w:val="0BBA0B5B"/>
    <w:rsid w:val="0C4548C9"/>
    <w:rsid w:val="0C942322"/>
    <w:rsid w:val="0C9C2400"/>
    <w:rsid w:val="0D365E6D"/>
    <w:rsid w:val="0D4D70AC"/>
    <w:rsid w:val="0D564F20"/>
    <w:rsid w:val="0DBD4932"/>
    <w:rsid w:val="0DE63E89"/>
    <w:rsid w:val="0E907798"/>
    <w:rsid w:val="0EFB43FE"/>
    <w:rsid w:val="0F1113DA"/>
    <w:rsid w:val="10183569"/>
    <w:rsid w:val="106C1FD9"/>
    <w:rsid w:val="11826EDE"/>
    <w:rsid w:val="1194044E"/>
    <w:rsid w:val="11BD7734"/>
    <w:rsid w:val="11DC7A7D"/>
    <w:rsid w:val="12003516"/>
    <w:rsid w:val="1309087B"/>
    <w:rsid w:val="13497394"/>
    <w:rsid w:val="136753FE"/>
    <w:rsid w:val="13E30F77"/>
    <w:rsid w:val="146742AC"/>
    <w:rsid w:val="14803CA5"/>
    <w:rsid w:val="14B2044D"/>
    <w:rsid w:val="153876C0"/>
    <w:rsid w:val="1548367B"/>
    <w:rsid w:val="156F0C08"/>
    <w:rsid w:val="16096967"/>
    <w:rsid w:val="17400E33"/>
    <w:rsid w:val="178A5C0C"/>
    <w:rsid w:val="187C78C4"/>
    <w:rsid w:val="190A51FF"/>
    <w:rsid w:val="191E4E1F"/>
    <w:rsid w:val="19C25BD6"/>
    <w:rsid w:val="19DB2CBB"/>
    <w:rsid w:val="19DE635C"/>
    <w:rsid w:val="19F55BA5"/>
    <w:rsid w:val="1A240DDA"/>
    <w:rsid w:val="1A9A04D5"/>
    <w:rsid w:val="1AA749A0"/>
    <w:rsid w:val="1AAE78B7"/>
    <w:rsid w:val="1AB64BE3"/>
    <w:rsid w:val="1BE9434C"/>
    <w:rsid w:val="1C132BA8"/>
    <w:rsid w:val="1CD46975"/>
    <w:rsid w:val="1D426F29"/>
    <w:rsid w:val="1D57445C"/>
    <w:rsid w:val="1D8E1F41"/>
    <w:rsid w:val="1D976F4E"/>
    <w:rsid w:val="1D994A74"/>
    <w:rsid w:val="1D9B4C90"/>
    <w:rsid w:val="1E3E29A9"/>
    <w:rsid w:val="1E5B7F7C"/>
    <w:rsid w:val="1EAB6839"/>
    <w:rsid w:val="1EEF1B4B"/>
    <w:rsid w:val="1EF5217E"/>
    <w:rsid w:val="1F0D396C"/>
    <w:rsid w:val="201C198C"/>
    <w:rsid w:val="205E01F7"/>
    <w:rsid w:val="20805068"/>
    <w:rsid w:val="20A40A44"/>
    <w:rsid w:val="21293B0A"/>
    <w:rsid w:val="2161473C"/>
    <w:rsid w:val="21C77C7B"/>
    <w:rsid w:val="21CB5418"/>
    <w:rsid w:val="230043C6"/>
    <w:rsid w:val="2342795C"/>
    <w:rsid w:val="23A93537"/>
    <w:rsid w:val="24017F83"/>
    <w:rsid w:val="245636BF"/>
    <w:rsid w:val="2478185E"/>
    <w:rsid w:val="24822706"/>
    <w:rsid w:val="24A21213"/>
    <w:rsid w:val="2506545B"/>
    <w:rsid w:val="25965599"/>
    <w:rsid w:val="25AF7C37"/>
    <w:rsid w:val="25DF76E4"/>
    <w:rsid w:val="261E77C4"/>
    <w:rsid w:val="267F31B6"/>
    <w:rsid w:val="268A7650"/>
    <w:rsid w:val="27252DB6"/>
    <w:rsid w:val="274C6FFB"/>
    <w:rsid w:val="278542BB"/>
    <w:rsid w:val="279F35CF"/>
    <w:rsid w:val="27AF68DB"/>
    <w:rsid w:val="27CC1EEA"/>
    <w:rsid w:val="27D86FBD"/>
    <w:rsid w:val="289C366A"/>
    <w:rsid w:val="297C3C3D"/>
    <w:rsid w:val="298C7B83"/>
    <w:rsid w:val="29C76E0D"/>
    <w:rsid w:val="29E67293"/>
    <w:rsid w:val="2A7A4394"/>
    <w:rsid w:val="2A847B4D"/>
    <w:rsid w:val="2A866380"/>
    <w:rsid w:val="2B2C252E"/>
    <w:rsid w:val="2B326CA8"/>
    <w:rsid w:val="2B335B90"/>
    <w:rsid w:val="2B3C2EE3"/>
    <w:rsid w:val="2B7F3816"/>
    <w:rsid w:val="2C9E20A7"/>
    <w:rsid w:val="2CD05FD9"/>
    <w:rsid w:val="2CE51A84"/>
    <w:rsid w:val="2CE61358"/>
    <w:rsid w:val="2D2068B3"/>
    <w:rsid w:val="2D216834"/>
    <w:rsid w:val="2D4A5D8B"/>
    <w:rsid w:val="2D580E5F"/>
    <w:rsid w:val="2D956040"/>
    <w:rsid w:val="2DB057BD"/>
    <w:rsid w:val="2DE65A9B"/>
    <w:rsid w:val="2E284CC2"/>
    <w:rsid w:val="2E493B6E"/>
    <w:rsid w:val="2EB564FC"/>
    <w:rsid w:val="2EBC3844"/>
    <w:rsid w:val="2ECC02D7"/>
    <w:rsid w:val="2FEF6776"/>
    <w:rsid w:val="306132BD"/>
    <w:rsid w:val="30A61703"/>
    <w:rsid w:val="31514FA0"/>
    <w:rsid w:val="3198392E"/>
    <w:rsid w:val="31A517E2"/>
    <w:rsid w:val="31B753FC"/>
    <w:rsid w:val="31B86968"/>
    <w:rsid w:val="31E83DC4"/>
    <w:rsid w:val="31EB2AE5"/>
    <w:rsid w:val="321A1995"/>
    <w:rsid w:val="322D3DB8"/>
    <w:rsid w:val="32463211"/>
    <w:rsid w:val="327207DD"/>
    <w:rsid w:val="32D60101"/>
    <w:rsid w:val="331C013A"/>
    <w:rsid w:val="33D62126"/>
    <w:rsid w:val="33ED5C9D"/>
    <w:rsid w:val="33FE167D"/>
    <w:rsid w:val="33FF2454"/>
    <w:rsid w:val="343230D5"/>
    <w:rsid w:val="34997682"/>
    <w:rsid w:val="34B8706D"/>
    <w:rsid w:val="34D66408"/>
    <w:rsid w:val="34F012EF"/>
    <w:rsid w:val="350B22A4"/>
    <w:rsid w:val="359009FB"/>
    <w:rsid w:val="359A63C0"/>
    <w:rsid w:val="35A16764"/>
    <w:rsid w:val="35E46651"/>
    <w:rsid w:val="36637EBD"/>
    <w:rsid w:val="36A91603"/>
    <w:rsid w:val="36E16C19"/>
    <w:rsid w:val="37393F57"/>
    <w:rsid w:val="37585548"/>
    <w:rsid w:val="37936694"/>
    <w:rsid w:val="37DF0AC5"/>
    <w:rsid w:val="38045B46"/>
    <w:rsid w:val="38E01351"/>
    <w:rsid w:val="39447B32"/>
    <w:rsid w:val="395D29A2"/>
    <w:rsid w:val="397252C0"/>
    <w:rsid w:val="397B28EA"/>
    <w:rsid w:val="39A20CFD"/>
    <w:rsid w:val="39F540DE"/>
    <w:rsid w:val="3A43603C"/>
    <w:rsid w:val="3B2C4D22"/>
    <w:rsid w:val="3C6473E9"/>
    <w:rsid w:val="3CFE4647"/>
    <w:rsid w:val="3D402D06"/>
    <w:rsid w:val="3DCE6978"/>
    <w:rsid w:val="3E6A7E4E"/>
    <w:rsid w:val="3E7C1B1C"/>
    <w:rsid w:val="3E9B4698"/>
    <w:rsid w:val="3ED92ACB"/>
    <w:rsid w:val="3EEC3300"/>
    <w:rsid w:val="3EF51D82"/>
    <w:rsid w:val="3F075A25"/>
    <w:rsid w:val="3FAE1C94"/>
    <w:rsid w:val="3FFB1940"/>
    <w:rsid w:val="401A339B"/>
    <w:rsid w:val="40335632"/>
    <w:rsid w:val="40730CFD"/>
    <w:rsid w:val="40F94425"/>
    <w:rsid w:val="410A78B3"/>
    <w:rsid w:val="4117625D"/>
    <w:rsid w:val="411918A4"/>
    <w:rsid w:val="412B57E4"/>
    <w:rsid w:val="4135519E"/>
    <w:rsid w:val="414E30CC"/>
    <w:rsid w:val="41C062A7"/>
    <w:rsid w:val="421F113C"/>
    <w:rsid w:val="423F1C2D"/>
    <w:rsid w:val="42495701"/>
    <w:rsid w:val="42752A18"/>
    <w:rsid w:val="427F607F"/>
    <w:rsid w:val="42C82DCC"/>
    <w:rsid w:val="42D336F3"/>
    <w:rsid w:val="430420E0"/>
    <w:rsid w:val="431F0E8B"/>
    <w:rsid w:val="43993170"/>
    <w:rsid w:val="43AD4526"/>
    <w:rsid w:val="43CB621A"/>
    <w:rsid w:val="43FB25D8"/>
    <w:rsid w:val="44760DBC"/>
    <w:rsid w:val="4487121B"/>
    <w:rsid w:val="4516612D"/>
    <w:rsid w:val="45424645"/>
    <w:rsid w:val="461865CE"/>
    <w:rsid w:val="46660BBD"/>
    <w:rsid w:val="46FB56E7"/>
    <w:rsid w:val="473F5DDD"/>
    <w:rsid w:val="47737835"/>
    <w:rsid w:val="47DD939D"/>
    <w:rsid w:val="48465ECA"/>
    <w:rsid w:val="494D2A33"/>
    <w:rsid w:val="499707E5"/>
    <w:rsid w:val="49A07007"/>
    <w:rsid w:val="49C90291"/>
    <w:rsid w:val="4A3300A6"/>
    <w:rsid w:val="4AA86205"/>
    <w:rsid w:val="4AC565F9"/>
    <w:rsid w:val="4AD4683C"/>
    <w:rsid w:val="4AEB2504"/>
    <w:rsid w:val="4AF03C87"/>
    <w:rsid w:val="4AF75950"/>
    <w:rsid w:val="4B17211E"/>
    <w:rsid w:val="4B2477C4"/>
    <w:rsid w:val="4B5C51AF"/>
    <w:rsid w:val="4B94388F"/>
    <w:rsid w:val="4BB1115C"/>
    <w:rsid w:val="4CA50490"/>
    <w:rsid w:val="4D783DF7"/>
    <w:rsid w:val="4D814A59"/>
    <w:rsid w:val="4D86623D"/>
    <w:rsid w:val="4D8878D7"/>
    <w:rsid w:val="4DBE6E7A"/>
    <w:rsid w:val="4DC4528E"/>
    <w:rsid w:val="4E435B45"/>
    <w:rsid w:val="4E966118"/>
    <w:rsid w:val="4F0168E2"/>
    <w:rsid w:val="4F147B4F"/>
    <w:rsid w:val="4F710FDB"/>
    <w:rsid w:val="4F786330"/>
    <w:rsid w:val="4FEA6F0B"/>
    <w:rsid w:val="500936A2"/>
    <w:rsid w:val="50873096"/>
    <w:rsid w:val="50BB4726"/>
    <w:rsid w:val="50D310DF"/>
    <w:rsid w:val="51134562"/>
    <w:rsid w:val="52304CA0"/>
    <w:rsid w:val="54305704"/>
    <w:rsid w:val="54C17E31"/>
    <w:rsid w:val="54F07F71"/>
    <w:rsid w:val="56441CCC"/>
    <w:rsid w:val="564C7BCE"/>
    <w:rsid w:val="5660723E"/>
    <w:rsid w:val="56F049FE"/>
    <w:rsid w:val="571D22E1"/>
    <w:rsid w:val="5726041F"/>
    <w:rsid w:val="57ED021C"/>
    <w:rsid w:val="580764A3"/>
    <w:rsid w:val="58326D9E"/>
    <w:rsid w:val="58EB14ED"/>
    <w:rsid w:val="58F72073"/>
    <w:rsid w:val="5922396D"/>
    <w:rsid w:val="595C743E"/>
    <w:rsid w:val="59861649"/>
    <w:rsid w:val="59D4413A"/>
    <w:rsid w:val="5A074538"/>
    <w:rsid w:val="5BAE0D25"/>
    <w:rsid w:val="5C133668"/>
    <w:rsid w:val="5C51675B"/>
    <w:rsid w:val="5CB323A2"/>
    <w:rsid w:val="5CBC5AAE"/>
    <w:rsid w:val="5D452B74"/>
    <w:rsid w:val="5DDFAE7B"/>
    <w:rsid w:val="5E2F405E"/>
    <w:rsid w:val="5E391380"/>
    <w:rsid w:val="5E5252BB"/>
    <w:rsid w:val="5F5F2ED4"/>
    <w:rsid w:val="5F5F6840"/>
    <w:rsid w:val="5FBB029F"/>
    <w:rsid w:val="5FEA00D5"/>
    <w:rsid w:val="5FFEF869"/>
    <w:rsid w:val="609A6548"/>
    <w:rsid w:val="60C243F3"/>
    <w:rsid w:val="61145506"/>
    <w:rsid w:val="61BD3385"/>
    <w:rsid w:val="62200D0C"/>
    <w:rsid w:val="6286607D"/>
    <w:rsid w:val="62873EFA"/>
    <w:rsid w:val="62AE40EB"/>
    <w:rsid w:val="62F6339C"/>
    <w:rsid w:val="63137D72"/>
    <w:rsid w:val="631D4DCC"/>
    <w:rsid w:val="632D6C8E"/>
    <w:rsid w:val="63597165"/>
    <w:rsid w:val="63AA2F5C"/>
    <w:rsid w:val="63DC6A36"/>
    <w:rsid w:val="64153CF6"/>
    <w:rsid w:val="646C600B"/>
    <w:rsid w:val="64DF4A2F"/>
    <w:rsid w:val="64E862F2"/>
    <w:rsid w:val="64EB1380"/>
    <w:rsid w:val="66611EFF"/>
    <w:rsid w:val="67CE2B39"/>
    <w:rsid w:val="67F13E6F"/>
    <w:rsid w:val="67FB54CE"/>
    <w:rsid w:val="687314E7"/>
    <w:rsid w:val="689A09CE"/>
    <w:rsid w:val="68E15E28"/>
    <w:rsid w:val="68EB19B4"/>
    <w:rsid w:val="69E938AA"/>
    <w:rsid w:val="6A0769BD"/>
    <w:rsid w:val="6A18368D"/>
    <w:rsid w:val="6A1A3E14"/>
    <w:rsid w:val="6C44786E"/>
    <w:rsid w:val="6C7672FB"/>
    <w:rsid w:val="6CA77F9A"/>
    <w:rsid w:val="6CF7668E"/>
    <w:rsid w:val="6D9143ED"/>
    <w:rsid w:val="6DED6FA8"/>
    <w:rsid w:val="6E001573"/>
    <w:rsid w:val="6E14669A"/>
    <w:rsid w:val="6E69269E"/>
    <w:rsid w:val="6E7855AD"/>
    <w:rsid w:val="6F082DD5"/>
    <w:rsid w:val="6F9E1043"/>
    <w:rsid w:val="6FF1EBE4"/>
    <w:rsid w:val="70096C82"/>
    <w:rsid w:val="705A4699"/>
    <w:rsid w:val="70925D6B"/>
    <w:rsid w:val="709F6A27"/>
    <w:rsid w:val="70E1634E"/>
    <w:rsid w:val="713C6F4A"/>
    <w:rsid w:val="718C1A9B"/>
    <w:rsid w:val="71B55866"/>
    <w:rsid w:val="71F36EB1"/>
    <w:rsid w:val="72B33FBD"/>
    <w:rsid w:val="72BF5F16"/>
    <w:rsid w:val="72F17651"/>
    <w:rsid w:val="741204D3"/>
    <w:rsid w:val="74E32096"/>
    <w:rsid w:val="74F05C4D"/>
    <w:rsid w:val="75525FF9"/>
    <w:rsid w:val="756C6735"/>
    <w:rsid w:val="75DF35CF"/>
    <w:rsid w:val="760A41E9"/>
    <w:rsid w:val="763A6737"/>
    <w:rsid w:val="77163BB5"/>
    <w:rsid w:val="773B5919"/>
    <w:rsid w:val="77420E4E"/>
    <w:rsid w:val="776B5CAF"/>
    <w:rsid w:val="777A5D88"/>
    <w:rsid w:val="77B86540"/>
    <w:rsid w:val="77BD7908"/>
    <w:rsid w:val="77E35C3E"/>
    <w:rsid w:val="782F4F2E"/>
    <w:rsid w:val="78580517"/>
    <w:rsid w:val="78E35D19"/>
    <w:rsid w:val="78E50B9E"/>
    <w:rsid w:val="796FF680"/>
    <w:rsid w:val="79975481"/>
    <w:rsid w:val="7A0365DF"/>
    <w:rsid w:val="7A0422BB"/>
    <w:rsid w:val="7AA37E55"/>
    <w:rsid w:val="7ABD0F17"/>
    <w:rsid w:val="7B2913A7"/>
    <w:rsid w:val="7B354F51"/>
    <w:rsid w:val="7BB10350"/>
    <w:rsid w:val="7BDFF729"/>
    <w:rsid w:val="7C0D19E3"/>
    <w:rsid w:val="7C1C177D"/>
    <w:rsid w:val="7C2154D6"/>
    <w:rsid w:val="7CB5162C"/>
    <w:rsid w:val="7CB93960"/>
    <w:rsid w:val="7CEC5AE4"/>
    <w:rsid w:val="7D1F48F8"/>
    <w:rsid w:val="7D342FE7"/>
    <w:rsid w:val="7D6FF20B"/>
    <w:rsid w:val="7D9FC573"/>
    <w:rsid w:val="7DB99411"/>
    <w:rsid w:val="7DE70030"/>
    <w:rsid w:val="7E0B59D9"/>
    <w:rsid w:val="7E21503F"/>
    <w:rsid w:val="7E7FD76A"/>
    <w:rsid w:val="7E892905"/>
    <w:rsid w:val="7EE01CB3"/>
    <w:rsid w:val="7F1DFA1C"/>
    <w:rsid w:val="7F255CCE"/>
    <w:rsid w:val="7F34107C"/>
    <w:rsid w:val="7F857B2A"/>
    <w:rsid w:val="7FF07699"/>
    <w:rsid w:val="7FF7575D"/>
    <w:rsid w:val="7FFE7E8E"/>
    <w:rsid w:val="7FFED73D"/>
    <w:rsid w:val="8BF7F093"/>
    <w:rsid w:val="CECECF2C"/>
    <w:rsid w:val="CF6DB1FB"/>
    <w:rsid w:val="DD7F026D"/>
    <w:rsid w:val="DE7FBE90"/>
    <w:rsid w:val="DF6C2D60"/>
    <w:rsid w:val="E69E48E2"/>
    <w:rsid w:val="E9BF02C2"/>
    <w:rsid w:val="ECFB4307"/>
    <w:rsid w:val="F07E9EA3"/>
    <w:rsid w:val="F43F0052"/>
    <w:rsid w:val="F58373B0"/>
    <w:rsid w:val="FCF9E915"/>
    <w:rsid w:val="FE7D6363"/>
    <w:rsid w:val="FEE0EEAE"/>
    <w:rsid w:val="FFEBC115"/>
    <w:rsid w:val="FFFE02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Body Text"/>
    <w:basedOn w:val="1"/>
    <w:qFormat/>
    <w:uiPriority w:val="99"/>
    <w:pPr>
      <w:spacing w:after="12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footnote text"/>
    <w:link w:val="22"/>
    <w:semiHidden/>
    <w:unhideWhenUsed/>
    <w:qFormat/>
    <w:uiPriority w:val="99"/>
    <w:pPr>
      <w:spacing w:after="0" w:line="240" w:lineRule="auto"/>
    </w:pPr>
    <w:rPr>
      <w:rFonts w:asciiTheme="minorHAnsi" w:hAnsiTheme="minorHAnsi" w:eastAsiaTheme="minorEastAsia" w:cstheme="minorBidi"/>
      <w:sz w:val="20"/>
      <w:szCs w:val="20"/>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qFormat/>
    <w:uiPriority w:val="0"/>
    <w:pPr>
      <w:spacing w:before="480" w:after="480" w:line="288" w:lineRule="auto"/>
      <w:ind w:left="0"/>
    </w:pPr>
    <w:rPr>
      <w:rFonts w:ascii="Arial" w:hAnsi="Arial" w:eastAsia="等线" w:cs="Arial"/>
      <w:b/>
      <w:bCs/>
      <w:sz w:val="52"/>
      <w:szCs w:val="5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unhideWhenUsed/>
    <w:qFormat/>
    <w:uiPriority w:val="99"/>
    <w:rPr>
      <w:color w:val="0563C1"/>
      <w:u w:val="single"/>
    </w:rPr>
  </w:style>
  <w:style w:type="character" w:styleId="20">
    <w:name w:val="footnote reference"/>
    <w:semiHidden/>
    <w:unhideWhenUsed/>
    <w:qFormat/>
    <w:uiPriority w:val="99"/>
    <w:rPr>
      <w:vertAlign w:val="superscript"/>
    </w:rPr>
  </w:style>
  <w:style w:type="paragraph" w:styleId="21">
    <w:name w:val="List Paragraph"/>
    <w:basedOn w:val="1"/>
    <w:qFormat/>
    <w:uiPriority w:val="0"/>
    <w:rPr>
      <w:rFonts w:asciiTheme="minorHAnsi" w:hAnsiTheme="minorHAnsi" w:eastAsiaTheme="minorEastAsia" w:cstheme="minorBidi"/>
      <w:sz w:val="21"/>
      <w:szCs w:val="22"/>
    </w:rPr>
  </w:style>
  <w:style w:type="character" w:customStyle="1" w:styleId="22">
    <w:name w:val="Footnote Text Char"/>
    <w:link w:val="12"/>
    <w:semiHidden/>
    <w:unhideWhenUsed/>
    <w:qFormat/>
    <w:uiPriority w:val="99"/>
    <w:rPr>
      <w:sz w:val="20"/>
      <w:szCs w:val="20"/>
    </w:rPr>
  </w:style>
  <w:style w:type="paragraph" w:customStyle="1" w:styleId="23">
    <w:name w:val="_Style 13"/>
    <w:qFormat/>
    <w:uiPriority w:val="0"/>
    <w:pPr>
      <w:spacing w:before="120" w:after="120" w:line="288" w:lineRule="auto"/>
      <w:ind w:left="0"/>
      <w:jc w:val="left"/>
    </w:pPr>
    <w:rPr>
      <w:rFonts w:ascii="Arial" w:hAnsi="Arial" w:eastAsia="等线" w:cs="Arial"/>
      <w:sz w:val="22"/>
      <w:szCs w:val="22"/>
    </w:rPr>
  </w:style>
  <w:style w:type="paragraph" w:customStyle="1" w:styleId="24">
    <w:name w:val="_Style 14"/>
    <w:qFormat/>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b2b7ff3a-d2e8-4662-9381-71e0c0480037</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6B649E81</paraID>
      <start xmlns="http://schemas.wps.cn/vas-ai-hub/contract-review">93</start>
      <end xmlns="http://schemas.wps.cn/vas-ai-hub/contract-review">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2b082408-9503-4d18-b456-b93dc8522ee2</errorID>
      <errorWord xmlns="http://schemas.wps.cn/vas-ai-hub/contract-review">&gt;的通知》</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〉的通知》</item>
      </candidateList>
      <explain xmlns="http://schemas.wps.cn/vas-ai-hub/contract-review"/>
      <paraID xmlns="http://schemas.wps.cn/vas-ai-hub/contract-review">6B649E81</paraID>
      <start xmlns="http://schemas.wps.cn/vas-ai-hub/contract-review">109</start>
      <end xmlns="http://schemas.wps.cn/vas-ai-hub/contract-review">114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c29cbbdf-8090-47f8-98e3-93029c30ac18</errorID>
      <errorWord xmlns="http://schemas.wps.cn/vas-ai-hub/contract-review">资料详实</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资料翔实</item>
      </candidateList>
      <explain xmlns="http://schemas.wps.cn/vas-ai-hub/contract-review">词汇[资料详实]为不规范表述或旧称，其规范书面表述为[资料翔实]。</explain>
      <paraID xmlns="http://schemas.wps.cn/vas-ai-hub/contract-review">33B7D4D0</paraID>
      <start xmlns="http://schemas.wps.cn/vas-ai-hub/contract-review">37</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ca94a346-62c4-4ee1-83df-a96dfa47149a</errorID>
      <errorWord xmlns="http://schemas.wps.cn/vas-ai-hub/contract-review">可采取通讯鉴定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可采取通信鉴定</item>
      </candidateList>
      <explain xmlns="http://schemas.wps.cn/vas-ai-hub/contract-review"/>
      <paraID xmlns="http://schemas.wps.cn/vas-ai-hub/contract-review">55657003</paraID>
      <start xmlns="http://schemas.wps.cn/vas-ai-hub/contract-review">11</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f0e3b073-3fd6-4e91-a918-66890a0edb3e</errorID>
      <errorWord xmlns="http://schemas.wps.cn/vas-ai-hub/contract-review">免于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免予</item>
      </candidateList>
      <explain xmlns="http://schemas.wps.cn/vas-ai-hub/contract-review"/>
      <paraID xmlns="http://schemas.wps.cn/vas-ai-hub/contract-review">3A271057</paraID>
      <start xmlns="http://schemas.wps.cn/vas-ai-hub/contract-review">22</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302a916c-85c7-45ec-bbe9-6640bc1cc636</errorID>
      <errorWord xmlns="http://schemas.wps.cn/vas-ai-hub/contract-review">免于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免予</item>
      </candidateList>
      <explain xmlns="http://schemas.wps.cn/vas-ai-hub/contract-review">存在发音相同字词的误用。</explain>
      <paraID xmlns="http://schemas.wps.cn/vas-ai-hub/contract-review"> 3FE6A56</paraID>
      <start xmlns="http://schemas.wps.cn/vas-ai-hub/contract-review">7</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e5ffd3-a0ed-4d43-8b4c-26c0dfa8f6d6}">
  <ds:schemaRefs/>
</ds:datastoreItem>
</file>

<file path=docProps/app.xml><?xml version="1.0" encoding="utf-8"?>
<Properties xmlns="http://schemas.openxmlformats.org/officeDocument/2006/extended-properties" xmlns:vt="http://schemas.openxmlformats.org/officeDocument/2006/docPropsVTypes">
  <Pages>9</Pages>
  <Words>3807</Words>
  <Characters>3828</Characters>
  <TotalTime>2</TotalTime>
  <ScaleCrop>false</ScaleCrop>
  <LinksUpToDate>false</LinksUpToDate>
  <CharactersWithSpaces>3879</CharactersWithSpaces>
  <Application>WPS Office_12.1.2.25882_F1E327BC-269C-435d-A152-05C5408002CA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2025-06-13T13:35:00Z</dcterms:created>
  <dc:creator>Un-named</dc:creator>
  <cp:lastModifiedBy>GZW</cp:lastModifiedBy>
  <cp:lastPrinted>2026-08-26T00:39:00Z</cp:lastPrinted>
  <dcterms:modified xsi:type="dcterms:W3CDTF">2026-09-02T14:07:09Z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eyJoZGlkIjoiYWJmODQ2NGNmNjQwOTA1ZTYzMzUyMzhkZjAzM2VmYWMiLCJ1c2VySWQiOiIyNzA5OTQxMTMifQ==</vt:lpwstr>
  </property>
  <property fmtid="{D5CDD505-2E9C-101B-9397-08002B2CF9AE}" pid="3" name="KSOProductBuildVer">
    <vt:lpwstr>2052-12.1.2.25882</vt:lpwstr>
  </property>
  <property fmtid="{D5CDD505-2E9C-101B-9397-08002B2CF9AE}" pid="4" name="ICV">
    <vt:lpwstr>42F082F6C6374995A40DCE62C1A84CFF_13</vt:lpwstr>
  </property>
</Properties>
</file>